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497E0" w14:textId="7C542A21" w:rsidR="00F30817" w:rsidRPr="00404449" w:rsidRDefault="00000000">
      <w:pPr>
        <w:pStyle w:val="TTPTitle"/>
        <w:rPr>
          <w:sz w:val="24"/>
          <w:szCs w:val="24"/>
          <w:lang w:val="en-GB"/>
        </w:rPr>
      </w:pPr>
      <w:r>
        <w:rPr>
          <w:noProof/>
        </w:rPr>
        <w:pict w14:anchorId="0608CE7B">
          <v:shapetype id="_x0000_t202" coordsize="21600,21600" o:spt="202" path="m,l,21600r21600,l21600,xe">
            <v:stroke joinstyle="miter"/>
            <v:path gradientshapeok="t" o:connecttype="rect"/>
          </v:shapetype>
          <v:shape id="Text Box 2" o:spid="_x0000_s1026" type="#_x0000_t202" style="position:absolute;left:0;text-align:left;margin-left:403.8pt;margin-top:-12.7pt;width:82.4pt;height:83.95pt;z-index:1;visibility:visible;mso-wrap-distance-top:3.6pt;mso-wrap-distance-bottom:3.6p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">
            <v:textbox style="mso-next-textbox:#Text Box 2">
              <w:txbxContent>
                <w:p w14:paraId="759362CA" w14:textId="455E6A8A" w:rsidR="0077338D" w:rsidRPr="00DE4C49" w:rsidRDefault="00A45106" w:rsidP="0077338D">
                  <w:pPr>
                    <w:rPr>
                      <w:rFonts w:ascii="Arial" w:hAnsi="Arial" w:cs="Arial"/>
                      <w:b/>
                      <w:bCs/>
                      <w:lang w:val="en-GB"/>
                    </w:rPr>
                  </w:pPr>
                  <w:r>
                    <w:rPr>
                      <w:lang w:val="en-GB"/>
                    </w:rPr>
                    <w:pict w14:anchorId="6FBA27D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56.4pt;height:75pt">
                        <v:imagedata r:id="rId7" o:title="Richard_mugshot"/>
                      </v:shape>
                    </w:pict>
                  </w:r>
                  <w:r w:rsidR="0077338D" w:rsidRPr="00DE4C49">
                    <w:rPr>
                      <w:lang w:val="en-GB"/>
                    </w:rPr>
                    <w:t>t style photo here</w:t>
                  </w:r>
                  <w:r w:rsidR="0077338D" w:rsidRPr="00DE4C49">
                    <w:rPr>
                      <w:lang w:val="en-GB"/>
                    </w:rPr>
                    <w:br/>
                    <w:t>(Optional)</w:t>
                  </w:r>
                </w:p>
              </w:txbxContent>
            </v:textbox>
            <w10:wrap type="square"/>
          </v:shape>
        </w:pict>
      </w:r>
      <w:r w:rsidR="00A45106" w:rsidRPr="00A45106">
        <w:rPr>
          <w:noProof/>
          <w:lang w:val="de-DE"/>
        </w:rPr>
        <w:t>Inferring spatial impulse from Digital Image Correlation  of near field blast loaded plates</w:t>
      </w:r>
      <w:r w:rsidR="00FA14D3" w:rsidRPr="00404449">
        <w:rPr>
          <w:sz w:val="24"/>
          <w:szCs w:val="24"/>
          <w:lang w:val="en-GB"/>
        </w:rPr>
        <w:t xml:space="preserve"> </w:t>
      </w:r>
    </w:p>
    <w:p w14:paraId="4E935161" w14:textId="0BD77CD0" w:rsidR="00F30817" w:rsidRPr="00473A8E" w:rsidRDefault="00A45106" w:rsidP="00F17770">
      <w:pPr>
        <w:pStyle w:val="TTPAuthors"/>
        <w:spacing w:before="0" w:after="120"/>
        <w:rPr>
          <w:sz w:val="20"/>
          <w:szCs w:val="20"/>
          <w:lang w:val="en-GB"/>
        </w:rPr>
      </w:pPr>
      <w:r>
        <w:rPr>
          <w:sz w:val="20"/>
          <w:szCs w:val="20"/>
          <w:lang w:val="en-GB"/>
        </w:rPr>
        <w:t>R. Curry</w:t>
      </w:r>
      <w:r w:rsidR="00F30817" w:rsidRPr="00473A8E">
        <w:rPr>
          <w:sz w:val="20"/>
          <w:szCs w:val="20"/>
          <w:vertAlign w:val="superscript"/>
          <w:lang w:val="en-GB"/>
        </w:rPr>
        <w:t>1</w:t>
      </w:r>
      <w:r>
        <w:rPr>
          <w:sz w:val="20"/>
          <w:szCs w:val="20"/>
          <w:vertAlign w:val="superscript"/>
          <w:lang w:val="en-GB"/>
        </w:rPr>
        <w:t>a</w:t>
      </w:r>
      <w:r w:rsidR="00F30817" w:rsidRPr="00473A8E">
        <w:rPr>
          <w:b/>
          <w:bCs/>
          <w:sz w:val="20"/>
          <w:szCs w:val="20"/>
          <w:lang w:val="en-GB"/>
        </w:rPr>
        <w:t>,</w:t>
      </w:r>
      <w:r w:rsidR="00F30817" w:rsidRPr="00473A8E">
        <w:rPr>
          <w:sz w:val="20"/>
          <w:szCs w:val="20"/>
          <w:lang w:val="en-GB"/>
        </w:rPr>
        <w:t xml:space="preserve"> </w:t>
      </w:r>
      <w:r>
        <w:rPr>
          <w:sz w:val="20"/>
          <w:szCs w:val="20"/>
          <w:lang w:val="en-GB"/>
        </w:rPr>
        <w:t>G</w:t>
      </w:r>
      <w:r w:rsidR="004A492F" w:rsidRPr="00473A8E">
        <w:rPr>
          <w:sz w:val="20"/>
          <w:szCs w:val="20"/>
          <w:lang w:val="en-GB"/>
        </w:rPr>
        <w:t xml:space="preserve">. </w:t>
      </w:r>
      <w:r>
        <w:rPr>
          <w:sz w:val="20"/>
          <w:szCs w:val="20"/>
          <w:lang w:val="en-GB"/>
        </w:rPr>
        <w:t>Langdon</w:t>
      </w:r>
      <w:r w:rsidR="00A031F5" w:rsidRPr="00473A8E">
        <w:rPr>
          <w:sz w:val="20"/>
          <w:szCs w:val="20"/>
          <w:vertAlign w:val="superscript"/>
          <w:lang w:val="en-GB"/>
        </w:rPr>
        <w:t xml:space="preserve">1 </w:t>
      </w:r>
      <w:r w:rsidR="00F30817" w:rsidRPr="00473A8E">
        <w:rPr>
          <w:sz w:val="20"/>
          <w:szCs w:val="20"/>
          <w:lang w:val="en-GB"/>
        </w:rPr>
        <w:t xml:space="preserve">and </w:t>
      </w:r>
      <w:r>
        <w:rPr>
          <w:sz w:val="20"/>
          <w:szCs w:val="20"/>
          <w:lang w:val="en-GB"/>
        </w:rPr>
        <w:t>A. Tyas</w:t>
      </w:r>
      <w:r w:rsidR="004A492F" w:rsidRPr="00473A8E">
        <w:rPr>
          <w:sz w:val="20"/>
          <w:szCs w:val="20"/>
          <w:vertAlign w:val="superscript"/>
          <w:lang w:val="en-GB"/>
        </w:rPr>
        <w:t>2</w:t>
      </w:r>
      <w:r>
        <w:rPr>
          <w:sz w:val="20"/>
          <w:szCs w:val="20"/>
          <w:vertAlign w:val="superscript"/>
          <w:lang w:val="en-GB"/>
        </w:rPr>
        <w:t>,1</w:t>
      </w:r>
      <w:r w:rsidR="00F30817" w:rsidRPr="00473A8E">
        <w:rPr>
          <w:sz w:val="20"/>
          <w:szCs w:val="20"/>
          <w:vertAlign w:val="superscript"/>
          <w:lang w:val="en-GB"/>
        </w:rPr>
        <w:t xml:space="preserve"> </w:t>
      </w:r>
    </w:p>
    <w:p w14:paraId="04A5CA63" w14:textId="53B6FA72" w:rsidR="00F30817" w:rsidRPr="004A492F" w:rsidRDefault="00F30817" w:rsidP="00DD5DD4">
      <w:pPr>
        <w:pStyle w:val="TTPAddress"/>
        <w:spacing w:before="0" w:after="120"/>
        <w:rPr>
          <w:sz w:val="20"/>
          <w:szCs w:val="20"/>
          <w:lang w:val="en-GB"/>
        </w:rPr>
      </w:pPr>
      <w:r w:rsidRPr="00404449">
        <w:rPr>
          <w:sz w:val="20"/>
          <w:szCs w:val="20"/>
          <w:vertAlign w:val="superscript"/>
          <w:lang w:val="en-GB"/>
        </w:rPr>
        <w:t>1</w:t>
      </w:r>
      <w:r w:rsidR="003F438A" w:rsidRPr="003F438A">
        <w:rPr>
          <w:rFonts w:ascii="Times New Roman" w:hAnsi="Times New Roman" w:cs="Times New Roman"/>
          <w:sz w:val="20"/>
          <w:szCs w:val="20"/>
          <w:lang w:val="de-DE"/>
        </w:rPr>
        <w:t xml:space="preserve"> </w:t>
      </w:r>
      <w:r w:rsidR="003F438A" w:rsidRPr="003F438A">
        <w:rPr>
          <w:sz w:val="20"/>
          <w:szCs w:val="20"/>
          <w:lang w:val="de-DE"/>
        </w:rPr>
        <w:t>School of Mechanical, Aerospace and Civil Engineering, University of Sheffield, Sheffield, UK</w:t>
      </w:r>
      <w:r w:rsidR="004A492F">
        <w:rPr>
          <w:sz w:val="20"/>
          <w:szCs w:val="20"/>
          <w:lang w:val="en-GB"/>
        </w:rPr>
        <w:t xml:space="preserve">, </w:t>
      </w:r>
      <w:r w:rsidR="004A492F">
        <w:rPr>
          <w:sz w:val="20"/>
          <w:szCs w:val="20"/>
          <w:vertAlign w:val="superscript"/>
          <w:lang w:val="en-GB"/>
        </w:rPr>
        <w:t>2</w:t>
      </w:r>
      <w:r w:rsidR="00DD5DD4" w:rsidRPr="00DD5DD4">
        <w:rPr>
          <w:sz w:val="20"/>
          <w:szCs w:val="20"/>
          <w:lang w:val="en-GB"/>
        </w:rPr>
        <w:t>Blastech Ltd., Sheffield, UK</w:t>
      </w:r>
    </w:p>
    <w:p w14:paraId="6751EAC4" w14:textId="2DB2BFAE" w:rsidR="00690981" w:rsidRPr="0077338D" w:rsidRDefault="00F30817" w:rsidP="0077338D">
      <w:pPr>
        <w:pStyle w:val="TTPAddress"/>
        <w:spacing w:before="0" w:after="120"/>
        <w:rPr>
          <w:sz w:val="20"/>
          <w:szCs w:val="20"/>
          <w:lang w:val="en-GB"/>
        </w:rPr>
      </w:pPr>
      <w:r w:rsidRPr="00404449">
        <w:rPr>
          <w:sz w:val="20"/>
          <w:szCs w:val="20"/>
          <w:vertAlign w:val="superscript"/>
          <w:lang w:val="en-GB"/>
        </w:rPr>
        <w:t>a</w:t>
      </w:r>
      <w:r w:rsidR="00A45106">
        <w:rPr>
          <w:sz w:val="20"/>
          <w:szCs w:val="20"/>
          <w:vertAlign w:val="superscript"/>
          <w:lang w:val="en-GB"/>
        </w:rPr>
        <w:t xml:space="preserve"> </w:t>
      </w:r>
      <w:r w:rsidR="00A031F5" w:rsidRPr="00404449">
        <w:rPr>
          <w:sz w:val="20"/>
          <w:szCs w:val="20"/>
          <w:lang w:val="en-GB"/>
        </w:rPr>
        <w:t>corresponding/presenting author</w:t>
      </w:r>
      <w:r w:rsidR="00DD5DD4">
        <w:rPr>
          <w:sz w:val="20"/>
          <w:szCs w:val="20"/>
          <w:lang w:val="en-GB"/>
        </w:rPr>
        <w:t>:</w:t>
      </w:r>
      <w:r w:rsidR="00A45106">
        <w:rPr>
          <w:sz w:val="20"/>
          <w:szCs w:val="20"/>
          <w:lang w:val="en-GB"/>
        </w:rPr>
        <w:t xml:space="preserve"> r.curry@sheffield.ac.uk</w:t>
      </w:r>
    </w:p>
    <w:p w14:paraId="4CA840E3" w14:textId="733989B4" w:rsidR="001D7F0D" w:rsidRDefault="00F30817" w:rsidP="001D7F0D">
      <w:pPr>
        <w:pStyle w:val="TTPAbstract"/>
        <w:spacing w:before="0"/>
        <w:rPr>
          <w:rFonts w:ascii="Arial" w:hAnsi="Arial" w:cs="Arial"/>
          <w:sz w:val="20"/>
          <w:szCs w:val="20"/>
          <w:lang w:val="en-GB"/>
        </w:rPr>
      </w:pPr>
      <w:r w:rsidRPr="00404449">
        <w:rPr>
          <w:rFonts w:ascii="Arial" w:hAnsi="Arial" w:cs="Arial"/>
          <w:b/>
          <w:bCs/>
          <w:sz w:val="20"/>
          <w:szCs w:val="20"/>
          <w:lang w:val="en-GB"/>
        </w:rPr>
        <w:t>Abstract.</w:t>
      </w:r>
      <w:r w:rsidRPr="00404449">
        <w:rPr>
          <w:rFonts w:ascii="Arial" w:hAnsi="Arial" w:cs="Arial"/>
          <w:sz w:val="20"/>
          <w:szCs w:val="20"/>
          <w:lang w:val="en-GB"/>
        </w:rPr>
        <w:t xml:space="preserve"> </w:t>
      </w:r>
    </w:p>
    <w:p w14:paraId="6DCE1C94" w14:textId="1585F2F1" w:rsidR="001D7F0D" w:rsidRPr="003F438A" w:rsidRDefault="003F438A" w:rsidP="001D7F0D">
      <w:pPr>
        <w:pStyle w:val="TTPAbstract"/>
        <w:spacing w:before="0"/>
        <w:rPr>
          <w:rFonts w:ascii="Arial" w:hAnsi="Arial" w:cs="Arial"/>
          <w:sz w:val="20"/>
          <w:szCs w:val="20"/>
          <w:lang w:val="en-GB"/>
        </w:rPr>
      </w:pPr>
      <w:r w:rsidRPr="003F438A">
        <w:rPr>
          <w:rFonts w:ascii="Arial" w:hAnsi="Arial" w:cs="Arial"/>
          <w:sz w:val="20"/>
          <w:szCs w:val="20"/>
          <w:lang w:val="de-DE"/>
        </w:rPr>
        <w:t>This research validates ultra-high-speed 3D Digital Image Correlation (DIC) as a robust, non-contact methodology for capturing full-field transient kinematics under extreme near-field blast loading</w:t>
      </w:r>
      <w:r w:rsidR="00C27A15">
        <w:rPr>
          <w:rFonts w:ascii="Arial" w:hAnsi="Arial" w:cs="Arial"/>
          <w:sz w:val="20"/>
          <w:szCs w:val="20"/>
          <w:lang w:val="de-DE"/>
        </w:rPr>
        <w:t xml:space="preserve"> [1]</w:t>
      </w:r>
      <w:r w:rsidRPr="003F438A">
        <w:rPr>
          <w:rFonts w:ascii="Arial" w:hAnsi="Arial" w:cs="Arial"/>
          <w:sz w:val="20"/>
          <w:szCs w:val="20"/>
          <w:lang w:val="de-DE"/>
        </w:rPr>
        <w:t>. By overcoming the destruction and spatial limitations of traditional contact sensors, this approach reliably infers localized specific impulse distributions within 5% agreement of Hopkinson pressure bar array measurements. Achieving displacement precision near 0.01 mm, the study establishes crucial experimental guidelines while demonstrating DIC's unique capability to capture fluid-structure interactions, wave reflections, and high-velocity fragment ejections during dynamic target failure.</w:t>
      </w:r>
    </w:p>
    <w:p w14:paraId="4A5F7EEE" w14:textId="77777777" w:rsidR="00F30817" w:rsidRPr="0033311B" w:rsidRDefault="00F30817" w:rsidP="00F17770">
      <w:pPr>
        <w:pStyle w:val="TTPSectionHeading"/>
        <w:spacing w:before="120"/>
        <w:rPr>
          <w:rFonts w:ascii="Arial" w:hAnsi="Arial" w:cs="Arial"/>
          <w:sz w:val="20"/>
          <w:szCs w:val="20"/>
          <w:lang w:val="en-GB"/>
        </w:rPr>
      </w:pPr>
      <w:r w:rsidRPr="0033311B">
        <w:rPr>
          <w:rFonts w:ascii="Arial" w:hAnsi="Arial" w:cs="Arial"/>
          <w:sz w:val="20"/>
          <w:szCs w:val="20"/>
          <w:lang w:val="en-GB"/>
        </w:rPr>
        <w:t>Introduction</w:t>
      </w:r>
    </w:p>
    <w:p w14:paraId="2CD36644" w14:textId="2DD7BBEE" w:rsidR="0033311B" w:rsidRPr="0033311B" w:rsidRDefault="0033311B" w:rsidP="00F17770">
      <w:pPr>
        <w:pStyle w:val="TTPSectionHeading"/>
        <w:spacing w:before="120"/>
        <w:rPr>
          <w:rFonts w:ascii="Arial" w:hAnsi="Arial" w:cs="Arial"/>
          <w:b w:val="0"/>
          <w:bCs w:val="0"/>
          <w:sz w:val="20"/>
          <w:szCs w:val="20"/>
          <w:lang w:val="en-GB"/>
        </w:rPr>
      </w:pPr>
      <w:r w:rsidRPr="0033311B">
        <w:rPr>
          <w:rFonts w:ascii="Arial" w:hAnsi="Arial" w:cs="Arial"/>
          <w:b w:val="0"/>
          <w:bCs w:val="0"/>
          <w:sz w:val="20"/>
          <w:szCs w:val="20"/>
          <w:lang w:val="en-GB"/>
        </w:rPr>
        <w:t>Measuring spatially and temporally varying pressure distributions during extreme near-field high-explosive detonations remains a formidable experimental challenge</w:t>
      </w:r>
      <w:r w:rsidR="00C27A15">
        <w:rPr>
          <w:rFonts w:ascii="Arial" w:hAnsi="Arial" w:cs="Arial"/>
          <w:b w:val="0"/>
          <w:bCs w:val="0"/>
          <w:sz w:val="20"/>
          <w:szCs w:val="20"/>
          <w:lang w:val="en-GB"/>
        </w:rPr>
        <w:t xml:space="preserve"> [2]</w:t>
      </w:r>
      <w:r w:rsidRPr="0033311B">
        <w:rPr>
          <w:rFonts w:ascii="Arial" w:hAnsi="Arial" w:cs="Arial"/>
          <w:b w:val="0"/>
          <w:bCs w:val="0"/>
          <w:sz w:val="20"/>
          <w:szCs w:val="20"/>
          <w:lang w:val="en-GB"/>
        </w:rPr>
        <w:t xml:space="preserve">. Traditional contact sensors and pressure transducers often suffer destruction or severe signal distortion when subjected to high-pressure detonation fireballs. While rigid-target Hopkinson pressure bar arrays (such as the Characterisation of Blast Loading, or CoBL, facility) provide baseline pressure histories, they are inherently limited by spatial bar resolution and cannot capture fluid-structure interactions on deforming targets.  This study presents an experimental methodology validating the use of ultra-high-speed stereo Digital Image Correlation (DIC) to extract full-field, transient out-of-plane velocity and displacement fields from blast-loaded steel target plates. By converting full-field transient velocity measurements into localized specific impulse distributions, this non-contact optical approach is cross-validated against direct Hopkinson pressure bar measurements, establishing quantitative accuracy limits and key experimental design guidelines for extreme blast environments.  </w:t>
      </w:r>
    </w:p>
    <w:p w14:paraId="3FDAE265" w14:textId="47EDD1E4" w:rsidR="0033311B" w:rsidRPr="0033311B" w:rsidRDefault="0033311B" w:rsidP="00F17770">
      <w:pPr>
        <w:pStyle w:val="TTPSectionHeading"/>
        <w:spacing w:before="120"/>
        <w:rPr>
          <w:rFonts w:ascii="Arial" w:hAnsi="Arial" w:cs="Arial"/>
          <w:sz w:val="20"/>
          <w:szCs w:val="20"/>
          <w:lang w:val="en-GB"/>
        </w:rPr>
      </w:pPr>
      <w:r w:rsidRPr="0033311B">
        <w:rPr>
          <w:rFonts w:ascii="Arial" w:hAnsi="Arial" w:cs="Arial"/>
          <w:sz w:val="20"/>
          <w:szCs w:val="20"/>
          <w:lang w:val="en-GB"/>
        </w:rPr>
        <w:t>Experimental Methodology</w:t>
      </w:r>
    </w:p>
    <w:p w14:paraId="425EC89A" w14:textId="08D647D4" w:rsidR="0033311B" w:rsidRPr="0033311B" w:rsidRDefault="00F97079" w:rsidP="00F17770">
      <w:pPr>
        <w:pStyle w:val="TTPSectionHeading"/>
        <w:spacing w:before="120"/>
        <w:rPr>
          <w:rFonts w:ascii="Arial" w:hAnsi="Arial" w:cs="Arial"/>
          <w:b w:val="0"/>
          <w:bCs w:val="0"/>
          <w:sz w:val="20"/>
          <w:szCs w:val="20"/>
          <w:lang w:val="en-GB"/>
        </w:rPr>
      </w:pPr>
      <w:r>
        <w:rPr>
          <w:rFonts w:ascii="Arial" w:hAnsi="Arial" w:cs="Arial"/>
          <w:b w:val="0"/>
          <w:bCs w:val="0"/>
          <w:sz w:val="20"/>
          <w:szCs w:val="20"/>
          <w:lang w:val="en-GB"/>
        </w:rPr>
        <w:t>Measurements were performed on f</w:t>
      </w:r>
      <w:r w:rsidR="0033311B" w:rsidRPr="0033311B">
        <w:rPr>
          <w:rFonts w:ascii="Arial" w:hAnsi="Arial" w:cs="Arial"/>
          <w:b w:val="0"/>
          <w:bCs w:val="0"/>
          <w:sz w:val="20"/>
          <w:szCs w:val="20"/>
          <w:lang w:val="en-GB"/>
        </w:rPr>
        <w:t xml:space="preserve">ully clamped </w:t>
      </w:r>
      <w:r>
        <w:rPr>
          <w:rFonts w:ascii="Arial" w:hAnsi="Arial" w:cs="Arial"/>
          <w:b w:val="0"/>
          <w:bCs w:val="0"/>
          <w:sz w:val="20"/>
          <w:szCs w:val="20"/>
          <w:lang w:val="en-GB"/>
        </w:rPr>
        <w:t>deformable</w:t>
      </w:r>
      <w:r w:rsidR="0033311B" w:rsidRPr="0033311B">
        <w:rPr>
          <w:rFonts w:ascii="Arial" w:hAnsi="Arial" w:cs="Arial"/>
          <w:b w:val="0"/>
          <w:bCs w:val="0"/>
          <w:sz w:val="20"/>
          <w:szCs w:val="20"/>
          <w:lang w:val="en-GB"/>
        </w:rPr>
        <w:t xml:space="preserve"> target plates</w:t>
      </w:r>
      <w:r>
        <w:rPr>
          <w:rFonts w:ascii="Arial" w:hAnsi="Arial" w:cs="Arial"/>
          <w:b w:val="0"/>
          <w:bCs w:val="0"/>
          <w:sz w:val="20"/>
          <w:szCs w:val="20"/>
          <w:lang w:val="en-GB"/>
        </w:rPr>
        <w:t xml:space="preserve"> and a rigid measurement rig call</w:t>
      </w:r>
      <w:r w:rsidR="00460B21">
        <w:rPr>
          <w:rFonts w:ascii="Arial" w:hAnsi="Arial" w:cs="Arial"/>
          <w:b w:val="0"/>
          <w:bCs w:val="0"/>
          <w:sz w:val="20"/>
          <w:szCs w:val="20"/>
          <w:lang w:val="en-GB"/>
        </w:rPr>
        <w:t>ed</w:t>
      </w:r>
      <w:r>
        <w:rPr>
          <w:rFonts w:ascii="Arial" w:hAnsi="Arial" w:cs="Arial"/>
          <w:b w:val="0"/>
          <w:bCs w:val="0"/>
          <w:sz w:val="20"/>
          <w:szCs w:val="20"/>
          <w:lang w:val="en-GB"/>
        </w:rPr>
        <w:t xml:space="preserve"> the Characterisation of Blast Loading </w:t>
      </w:r>
      <w:r w:rsidR="00460B21">
        <w:rPr>
          <w:rFonts w:ascii="Arial" w:hAnsi="Arial" w:cs="Arial"/>
          <w:b w:val="0"/>
          <w:bCs w:val="0"/>
          <w:sz w:val="20"/>
          <w:szCs w:val="20"/>
          <w:lang w:val="en-GB"/>
        </w:rPr>
        <w:t xml:space="preserve">(CoBL) </w:t>
      </w:r>
      <w:r>
        <w:rPr>
          <w:rFonts w:ascii="Arial" w:hAnsi="Arial" w:cs="Arial"/>
          <w:b w:val="0"/>
          <w:bCs w:val="0"/>
          <w:sz w:val="20"/>
          <w:szCs w:val="20"/>
          <w:lang w:val="en-GB"/>
        </w:rPr>
        <w:t>facility</w:t>
      </w:r>
      <w:r w:rsidR="00C27A15">
        <w:rPr>
          <w:rFonts w:ascii="Arial" w:hAnsi="Arial" w:cs="Arial"/>
          <w:b w:val="0"/>
          <w:bCs w:val="0"/>
          <w:sz w:val="20"/>
          <w:szCs w:val="20"/>
          <w:lang w:val="en-GB"/>
        </w:rPr>
        <w:t xml:space="preserve"> [3]</w:t>
      </w:r>
      <w:r w:rsidR="00460B21">
        <w:rPr>
          <w:rFonts w:ascii="Arial" w:hAnsi="Arial" w:cs="Arial"/>
          <w:b w:val="0"/>
          <w:bCs w:val="0"/>
          <w:sz w:val="20"/>
          <w:szCs w:val="20"/>
          <w:lang w:val="en-GB"/>
        </w:rPr>
        <w:t xml:space="preserve"> enabling the measurements from the two systems to be directly compared</w:t>
      </w:r>
      <w:r>
        <w:rPr>
          <w:rFonts w:ascii="Arial" w:hAnsi="Arial" w:cs="Arial"/>
          <w:b w:val="0"/>
          <w:bCs w:val="0"/>
          <w:sz w:val="20"/>
          <w:szCs w:val="20"/>
          <w:lang w:val="en-GB"/>
        </w:rPr>
        <w:t>. The deformable plates were</w:t>
      </w:r>
      <w:r w:rsidR="0033311B" w:rsidRPr="0033311B">
        <w:rPr>
          <w:rFonts w:ascii="Arial" w:hAnsi="Arial" w:cs="Arial"/>
          <w:b w:val="0"/>
          <w:bCs w:val="0"/>
          <w:sz w:val="20"/>
          <w:szCs w:val="20"/>
          <w:lang w:val="en-GB"/>
        </w:rPr>
        <w:t xml:space="preserve"> fabricated from </w:t>
      </w:r>
      <w:r w:rsidR="006722EE">
        <w:rPr>
          <w:rFonts w:ascii="Arial" w:hAnsi="Arial" w:cs="Arial"/>
          <w:b w:val="0"/>
          <w:bCs w:val="0"/>
          <w:sz w:val="20"/>
          <w:szCs w:val="20"/>
          <w:lang w:val="en-GB"/>
        </w:rPr>
        <w:t>3</w:t>
      </w:r>
      <w:r w:rsidR="0033311B" w:rsidRPr="0033311B">
        <w:rPr>
          <w:rFonts w:ascii="Arial" w:hAnsi="Arial" w:cs="Arial"/>
          <w:b w:val="0"/>
          <w:bCs w:val="0"/>
          <w:sz w:val="20"/>
          <w:szCs w:val="20"/>
          <w:lang w:val="en-GB"/>
        </w:rPr>
        <w:t>mm thick high-strength Strenx 700 structural steel, featuring an exposed region of 300 mm × 300 mm (outer dimension 400 mm × 400 mm) secured by 20 peripheral M15 bolts</w:t>
      </w:r>
      <w:r w:rsidR="00C27A15">
        <w:rPr>
          <w:rFonts w:ascii="Arial" w:hAnsi="Arial" w:cs="Arial"/>
          <w:b w:val="0"/>
          <w:bCs w:val="0"/>
          <w:sz w:val="20"/>
          <w:szCs w:val="20"/>
          <w:lang w:val="en-GB"/>
        </w:rPr>
        <w:t xml:space="preserve"> in similar manner to previous work [4]</w:t>
      </w:r>
      <w:r w:rsidR="0033311B" w:rsidRPr="0033311B">
        <w:rPr>
          <w:rFonts w:ascii="Arial" w:hAnsi="Arial" w:cs="Arial"/>
          <w:b w:val="0"/>
          <w:bCs w:val="0"/>
          <w:sz w:val="20"/>
          <w:szCs w:val="20"/>
          <w:lang w:val="en-GB"/>
        </w:rPr>
        <w:t xml:space="preserve">. PE10 plastic explosive </w:t>
      </w:r>
      <w:r>
        <w:rPr>
          <w:rFonts w:ascii="Arial" w:hAnsi="Arial" w:cs="Arial"/>
          <w:b w:val="0"/>
          <w:bCs w:val="0"/>
          <w:sz w:val="20"/>
          <w:szCs w:val="20"/>
          <w:lang w:val="en-GB"/>
        </w:rPr>
        <w:t xml:space="preserve">was used in </w:t>
      </w:r>
      <w:r w:rsidR="0033311B" w:rsidRPr="0033311B">
        <w:rPr>
          <w:rFonts w:ascii="Arial" w:hAnsi="Arial" w:cs="Arial"/>
          <w:b w:val="0"/>
          <w:bCs w:val="0"/>
          <w:sz w:val="20"/>
          <w:szCs w:val="20"/>
          <w:lang w:val="en-GB"/>
        </w:rPr>
        <w:t xml:space="preserve">16 tests utilizing 38 mm diameter cylindrical charges (10–40 g mass, Stand-Off Distances [SOD] of 0–50 mm) and 6 tests utilizing spherical charges (30–60 g mass, SOD of 20–50 mm).  </w:t>
      </w:r>
    </w:p>
    <w:p w14:paraId="743A635F" w14:textId="77777777" w:rsidR="0033311B" w:rsidRPr="0033311B" w:rsidRDefault="0033311B" w:rsidP="0033311B">
      <w:pPr>
        <w:pStyle w:val="TTPParagraphothers"/>
        <w:ind w:firstLine="0"/>
        <w:rPr>
          <w:rFonts w:ascii="Arial" w:hAnsi="Arial" w:cs="Arial"/>
          <w:sz w:val="20"/>
          <w:szCs w:val="20"/>
          <w:lang w:val="en-GB"/>
        </w:rPr>
      </w:pPr>
    </w:p>
    <w:p w14:paraId="291D395E" w14:textId="39BF0F73" w:rsidR="00F97079" w:rsidRDefault="0033311B" w:rsidP="0033311B">
      <w:pPr>
        <w:pStyle w:val="TTPParagraphothers"/>
        <w:ind w:firstLine="0"/>
        <w:rPr>
          <w:rFonts w:ascii="Arial" w:hAnsi="Arial" w:cs="Arial"/>
          <w:sz w:val="20"/>
          <w:szCs w:val="20"/>
          <w:lang w:val="en-GB"/>
        </w:rPr>
      </w:pPr>
      <w:r w:rsidRPr="000E6A93">
        <w:rPr>
          <w:rFonts w:ascii="Arial" w:hAnsi="Arial" w:cs="Arial"/>
          <w:sz w:val="20"/>
          <w:szCs w:val="20"/>
          <w:lang w:val="en-GB"/>
        </w:rPr>
        <w:t>Dual Ultra-High-Speed Optical Systems</w:t>
      </w:r>
      <w:r w:rsidR="000E6A93">
        <w:rPr>
          <w:rFonts w:ascii="Arial" w:hAnsi="Arial" w:cs="Arial"/>
          <w:sz w:val="20"/>
          <w:szCs w:val="20"/>
          <w:lang w:val="en-GB"/>
        </w:rPr>
        <w:t xml:space="preserve"> were used t</w:t>
      </w:r>
      <w:r w:rsidRPr="0033311B">
        <w:rPr>
          <w:rFonts w:ascii="Arial" w:hAnsi="Arial" w:cs="Arial"/>
          <w:sz w:val="20"/>
          <w:szCs w:val="20"/>
          <w:lang w:val="en-GB"/>
        </w:rPr>
        <w:t>o assess hardware-dependent biases and measurement uncertainties, two ultra-high-speed 3D-DIC camera systems equipped with Samyang 135 mm fixed focal lenses were operated at 100,000 frames per second</w:t>
      </w:r>
      <w:r w:rsidR="00F97079">
        <w:rPr>
          <w:rFonts w:ascii="Arial" w:hAnsi="Arial" w:cs="Arial"/>
          <w:sz w:val="20"/>
          <w:szCs w:val="20"/>
          <w:lang w:val="en-GB"/>
        </w:rPr>
        <w:t>.</w:t>
      </w:r>
      <w:r w:rsidRPr="0033311B">
        <w:rPr>
          <w:rFonts w:ascii="Arial" w:hAnsi="Arial" w:cs="Arial"/>
          <w:sz w:val="20"/>
          <w:szCs w:val="20"/>
          <w:lang w:val="en-GB"/>
        </w:rPr>
        <w:t xml:space="preserve"> </w:t>
      </w:r>
    </w:p>
    <w:p w14:paraId="77F65D84" w14:textId="29C75D4A" w:rsidR="00F97079" w:rsidRDefault="0033311B" w:rsidP="00F97079">
      <w:pPr>
        <w:pStyle w:val="TTPParagraphothers"/>
        <w:numPr>
          <w:ilvl w:val="0"/>
          <w:numId w:val="5"/>
        </w:numPr>
        <w:rPr>
          <w:rFonts w:ascii="Arial" w:hAnsi="Arial" w:cs="Arial"/>
          <w:sz w:val="20"/>
          <w:szCs w:val="20"/>
          <w:lang w:val="en-GB"/>
        </w:rPr>
      </w:pPr>
      <w:r w:rsidRPr="0033311B">
        <w:rPr>
          <w:rFonts w:ascii="Arial" w:hAnsi="Arial" w:cs="Arial"/>
          <w:sz w:val="20"/>
          <w:szCs w:val="20"/>
          <w:lang w:val="en-GB"/>
        </w:rPr>
        <w:t>Shimadzu HPV-X2</w:t>
      </w:r>
      <w:r w:rsidR="00F97079">
        <w:rPr>
          <w:rFonts w:ascii="Arial" w:hAnsi="Arial" w:cs="Arial"/>
          <w:sz w:val="20"/>
          <w:szCs w:val="20"/>
          <w:lang w:val="en-GB"/>
        </w:rPr>
        <w:t xml:space="preserve"> </w:t>
      </w:r>
      <w:r w:rsidRPr="0033311B">
        <w:rPr>
          <w:rFonts w:ascii="Arial" w:hAnsi="Arial" w:cs="Arial"/>
          <w:sz w:val="20"/>
          <w:szCs w:val="20"/>
          <w:lang w:val="en-GB"/>
        </w:rPr>
        <w:t xml:space="preserve">10-bit sensor </w:t>
      </w:r>
      <w:r w:rsidR="00F97079">
        <w:rPr>
          <w:rFonts w:ascii="Arial" w:hAnsi="Arial" w:cs="Arial"/>
          <w:sz w:val="20"/>
          <w:szCs w:val="20"/>
          <w:lang w:val="en-GB"/>
        </w:rPr>
        <w:t>(</w:t>
      </w:r>
      <w:r w:rsidRPr="0033311B">
        <w:rPr>
          <w:rFonts w:ascii="Arial" w:hAnsi="Arial" w:cs="Arial"/>
          <w:sz w:val="20"/>
          <w:szCs w:val="20"/>
          <w:lang w:val="en-GB"/>
        </w:rPr>
        <w:t xml:space="preserve">400 </w:t>
      </w:r>
      <w:r w:rsidR="00F97079">
        <w:rPr>
          <w:rFonts w:ascii="Arial" w:hAnsi="Arial" w:cs="Arial"/>
          <w:sz w:val="20"/>
          <w:szCs w:val="20"/>
          <w:lang w:val="en-GB"/>
        </w:rPr>
        <w:t>x</w:t>
      </w:r>
      <w:r w:rsidRPr="0033311B">
        <w:rPr>
          <w:rFonts w:ascii="Arial" w:hAnsi="Arial" w:cs="Arial"/>
          <w:sz w:val="20"/>
          <w:szCs w:val="20"/>
          <w:lang w:val="en-GB"/>
        </w:rPr>
        <w:t xml:space="preserve"> 250px resolution</w:t>
      </w:r>
      <w:r w:rsidR="00F97079">
        <w:rPr>
          <w:rFonts w:ascii="Arial" w:hAnsi="Arial" w:cs="Arial"/>
          <w:sz w:val="20"/>
          <w:szCs w:val="20"/>
          <w:lang w:val="en-GB"/>
        </w:rPr>
        <w:t xml:space="preserve"> and </w:t>
      </w:r>
      <w:r w:rsidRPr="0033311B">
        <w:rPr>
          <w:rFonts w:ascii="Arial" w:hAnsi="Arial" w:cs="Arial"/>
          <w:sz w:val="20"/>
          <w:szCs w:val="20"/>
          <w:lang w:val="en-GB"/>
        </w:rPr>
        <w:t xml:space="preserve">32 µm pixel size), illuminated using a 30k Luminys arc flash bulb with a 20 µs exposure time. A 5 mm ink-rolled speckle pattern was applied to match the resolution magnification of 1.18 px/mm.  </w:t>
      </w:r>
    </w:p>
    <w:p w14:paraId="34551249" w14:textId="77777777" w:rsidR="00F97079" w:rsidRDefault="0033311B" w:rsidP="00F97079">
      <w:pPr>
        <w:pStyle w:val="TTPParagraphothers"/>
        <w:numPr>
          <w:ilvl w:val="0"/>
          <w:numId w:val="5"/>
        </w:numPr>
        <w:rPr>
          <w:rFonts w:ascii="Arial" w:hAnsi="Arial" w:cs="Arial"/>
          <w:sz w:val="20"/>
          <w:szCs w:val="20"/>
          <w:lang w:val="en-GB"/>
        </w:rPr>
      </w:pPr>
      <w:r w:rsidRPr="0033311B">
        <w:rPr>
          <w:rFonts w:ascii="Arial" w:hAnsi="Arial" w:cs="Arial"/>
          <w:sz w:val="20"/>
          <w:szCs w:val="20"/>
          <w:lang w:val="en-GB"/>
        </w:rPr>
        <w:t xml:space="preserve">Photron SA-Z: 12-bit sensor (640 </w:t>
      </w:r>
      <w:r w:rsidR="00F97079">
        <w:rPr>
          <w:rFonts w:ascii="Arial" w:hAnsi="Arial" w:cs="Arial"/>
          <w:sz w:val="20"/>
          <w:szCs w:val="20"/>
          <w:lang w:val="en-GB"/>
        </w:rPr>
        <w:t>x</w:t>
      </w:r>
      <w:r w:rsidRPr="0033311B">
        <w:rPr>
          <w:rFonts w:ascii="Arial" w:hAnsi="Arial" w:cs="Arial"/>
          <w:sz w:val="20"/>
          <w:szCs w:val="20"/>
          <w:lang w:val="en-GB"/>
        </w:rPr>
        <w:t xml:space="preserve"> 280px </w:t>
      </w:r>
      <w:r w:rsidR="00F97079">
        <w:rPr>
          <w:rFonts w:ascii="Arial" w:hAnsi="Arial" w:cs="Arial"/>
          <w:sz w:val="20"/>
          <w:szCs w:val="20"/>
          <w:lang w:val="en-GB"/>
        </w:rPr>
        <w:t>resolution and</w:t>
      </w:r>
      <w:r w:rsidRPr="0033311B">
        <w:rPr>
          <w:rFonts w:ascii="Arial" w:hAnsi="Arial" w:cs="Arial"/>
          <w:sz w:val="20"/>
          <w:szCs w:val="20"/>
          <w:lang w:val="en-GB"/>
        </w:rPr>
        <w:t xml:space="preserve"> 20 µm pixel size), illuminated with GsVitec LED arrays providing an 8 µs exposure time. A 2.5 mm speckle pattern matched the resolution magnification of 1.72 px/mm.  </w:t>
      </w:r>
    </w:p>
    <w:p w14:paraId="48B12C68" w14:textId="77777777" w:rsidR="00F97079" w:rsidRDefault="00F97079" w:rsidP="00F97079">
      <w:pPr>
        <w:pStyle w:val="TTPParagraphothers"/>
        <w:ind w:firstLine="0"/>
        <w:rPr>
          <w:rFonts w:ascii="Arial" w:hAnsi="Arial" w:cs="Arial"/>
          <w:sz w:val="20"/>
          <w:szCs w:val="20"/>
          <w:lang w:val="en-GB"/>
        </w:rPr>
      </w:pPr>
    </w:p>
    <w:p w14:paraId="580A04AC" w14:textId="4E0FB642" w:rsidR="0033311B" w:rsidRPr="00F97079" w:rsidRDefault="0033311B" w:rsidP="00F97079">
      <w:pPr>
        <w:pStyle w:val="TTPParagraphothers"/>
        <w:ind w:firstLine="0"/>
        <w:rPr>
          <w:rFonts w:ascii="Arial" w:hAnsi="Arial" w:cs="Arial"/>
          <w:sz w:val="20"/>
          <w:szCs w:val="20"/>
          <w:lang w:val="en-GB"/>
        </w:rPr>
      </w:pPr>
      <w:r w:rsidRPr="00F97079">
        <w:rPr>
          <w:rFonts w:ascii="Arial" w:hAnsi="Arial" w:cs="Arial"/>
          <w:sz w:val="20"/>
          <w:szCs w:val="20"/>
          <w:lang w:val="en-GB"/>
        </w:rPr>
        <w:t xml:space="preserve">Baseline pressure measurements were collected using the CoBL facility. The setup comprised 17 maraging steel Hopkinson pressure bars (10 mm diameter, 3.25 m length) flush-mounted in a cross array across a 1400 mm diameter near-rigid steel plate. Discrete pressure-time histories recorded at radial intervals of 0, 25, 50, 75, and 100 mm were integrated over time to derive comparative specific impulse maps.  </w:t>
      </w:r>
    </w:p>
    <w:p w14:paraId="207B06BA" w14:textId="77777777" w:rsidR="0033311B" w:rsidRDefault="0033311B" w:rsidP="0033311B">
      <w:pPr>
        <w:pStyle w:val="TTPParagraphothers"/>
        <w:rPr>
          <w:lang w:val="en-GB"/>
        </w:rPr>
      </w:pPr>
    </w:p>
    <w:p w14:paraId="7FBC8560" w14:textId="23A218F6" w:rsidR="000E6A93" w:rsidRDefault="0033311B" w:rsidP="000E6A93">
      <w:pPr>
        <w:pStyle w:val="TTPParagraphothers"/>
        <w:ind w:firstLine="0"/>
        <w:rPr>
          <w:rFonts w:ascii="Arial" w:hAnsi="Arial" w:cs="Arial"/>
          <w:b/>
          <w:bCs/>
          <w:sz w:val="20"/>
          <w:szCs w:val="20"/>
          <w:lang w:val="en-GB"/>
        </w:rPr>
      </w:pPr>
      <w:r w:rsidRPr="000E6A93">
        <w:rPr>
          <w:rFonts w:ascii="Arial" w:hAnsi="Arial" w:cs="Arial"/>
          <w:b/>
          <w:bCs/>
          <w:sz w:val="20"/>
          <w:szCs w:val="20"/>
          <w:lang w:val="en-GB"/>
        </w:rPr>
        <w:t>Error Analysis and Method Validation</w:t>
      </w:r>
      <w:r w:rsidR="003B777B">
        <w:rPr>
          <w:rFonts w:ascii="Arial" w:hAnsi="Arial" w:cs="Arial"/>
          <w:b/>
          <w:bCs/>
          <w:sz w:val="20"/>
          <w:szCs w:val="20"/>
          <w:lang w:val="en-GB"/>
        </w:rPr>
        <w:t xml:space="preserve"> for DIC</w:t>
      </w:r>
    </w:p>
    <w:p w14:paraId="43E5A247" w14:textId="35EBD141" w:rsidR="000E6A93" w:rsidRDefault="0033311B" w:rsidP="000E6A93">
      <w:pPr>
        <w:pStyle w:val="TTPParagraphothers"/>
        <w:ind w:firstLine="0"/>
        <w:rPr>
          <w:rFonts w:ascii="Arial" w:hAnsi="Arial" w:cs="Arial"/>
          <w:sz w:val="20"/>
          <w:szCs w:val="20"/>
          <w:lang w:val="en-GB"/>
        </w:rPr>
      </w:pPr>
      <w:r w:rsidRPr="0033311B">
        <w:rPr>
          <w:rFonts w:ascii="Arial" w:hAnsi="Arial" w:cs="Arial"/>
          <w:sz w:val="20"/>
          <w:szCs w:val="20"/>
          <w:lang w:val="en-GB"/>
        </w:rPr>
        <w:t>DIC Uncertainty &amp; System Noise Floor Characterization</w:t>
      </w:r>
      <w:r w:rsidR="007032C4">
        <w:rPr>
          <w:rFonts w:ascii="Arial" w:hAnsi="Arial" w:cs="Arial"/>
          <w:sz w:val="20"/>
          <w:szCs w:val="20"/>
          <w:lang w:val="en-GB"/>
        </w:rPr>
        <w:t xml:space="preserve"> was evaluated via</w:t>
      </w:r>
      <w:r w:rsidR="000E6A93">
        <w:rPr>
          <w:rFonts w:ascii="Arial" w:hAnsi="Arial" w:cs="Arial"/>
          <w:sz w:val="20"/>
          <w:szCs w:val="20"/>
          <w:lang w:val="en-GB"/>
        </w:rPr>
        <w:t xml:space="preserve"> </w:t>
      </w:r>
      <w:r w:rsidR="007032C4">
        <w:rPr>
          <w:rFonts w:ascii="Arial" w:hAnsi="Arial" w:cs="Arial"/>
          <w:sz w:val="20"/>
          <w:szCs w:val="20"/>
          <w:lang w:val="en-GB"/>
        </w:rPr>
        <w:t>r</w:t>
      </w:r>
      <w:r w:rsidRPr="0033311B">
        <w:rPr>
          <w:rFonts w:ascii="Arial" w:hAnsi="Arial" w:cs="Arial"/>
          <w:sz w:val="20"/>
          <w:szCs w:val="20"/>
          <w:lang w:val="en-GB"/>
        </w:rPr>
        <w:t xml:space="preserve">igorous static and dynamic uncertainty evaluations </w:t>
      </w:r>
      <w:r w:rsidR="007032C4">
        <w:rPr>
          <w:rFonts w:ascii="Arial" w:hAnsi="Arial" w:cs="Arial"/>
          <w:sz w:val="20"/>
          <w:szCs w:val="20"/>
          <w:lang w:val="en-GB"/>
        </w:rPr>
        <w:t xml:space="preserve">that </w:t>
      </w:r>
      <w:r w:rsidRPr="0033311B">
        <w:rPr>
          <w:rFonts w:ascii="Arial" w:hAnsi="Arial" w:cs="Arial"/>
          <w:sz w:val="20"/>
          <w:szCs w:val="20"/>
          <w:lang w:val="en-GB"/>
        </w:rPr>
        <w:t>were performed in alignment with iDICS best practice standards</w:t>
      </w:r>
      <w:r w:rsidR="00C27A15">
        <w:rPr>
          <w:rFonts w:ascii="Arial" w:hAnsi="Arial" w:cs="Arial"/>
          <w:sz w:val="20"/>
          <w:szCs w:val="20"/>
          <w:lang w:val="en-GB"/>
        </w:rPr>
        <w:t xml:space="preserve"> [5,6]</w:t>
      </w:r>
      <w:r w:rsidRPr="0033311B">
        <w:rPr>
          <w:rFonts w:ascii="Arial" w:hAnsi="Arial" w:cs="Arial"/>
          <w:sz w:val="20"/>
          <w:szCs w:val="20"/>
          <w:lang w:val="en-GB"/>
        </w:rPr>
        <w:t xml:space="preserve">. The out-of-plane displacement noise floor Sigma_Z was computed via least-squares error minimization of stationary pre-test imagery:  </w:t>
      </w:r>
    </w:p>
    <w:p w14:paraId="133EBEAD" w14:textId="77777777" w:rsidR="000E6A93" w:rsidRDefault="000E6A93" w:rsidP="000E6A93">
      <w:pPr>
        <w:pStyle w:val="TTPParagraphothers"/>
        <w:ind w:firstLine="0"/>
        <w:rPr>
          <w:rFonts w:ascii="Arial" w:hAnsi="Arial" w:cs="Arial"/>
          <w:sz w:val="20"/>
          <w:szCs w:val="20"/>
          <w:lang w:val="en-GB"/>
        </w:rPr>
      </w:pPr>
    </w:p>
    <w:p w14:paraId="282A2AAE" w14:textId="77777777" w:rsidR="006722EE" w:rsidRDefault="0033311B" w:rsidP="000E6A93">
      <w:pPr>
        <w:pStyle w:val="TTPParagraphothers"/>
        <w:ind w:firstLine="0"/>
        <w:rPr>
          <w:rFonts w:ascii="Arial" w:hAnsi="Arial" w:cs="Arial"/>
          <w:sz w:val="20"/>
          <w:szCs w:val="20"/>
          <w:lang w:val="en-GB"/>
        </w:rPr>
      </w:pPr>
      <w:r w:rsidRPr="0033311B">
        <w:rPr>
          <w:rFonts w:ascii="Arial" w:hAnsi="Arial" w:cs="Arial"/>
          <w:sz w:val="20"/>
          <w:szCs w:val="20"/>
          <w:lang w:val="en-GB"/>
        </w:rPr>
        <w:t xml:space="preserve">Transient displacement errors across both systems remained strictly below 0.14 mm in worst-case scenarios and consistently near 0.01 mm for standard frames. The Photron SA-Z demonstrated lower noise floors due to higher sensor resolution, lower bit-noise, and shorter exposure times. However, both systems yielded virtually identical transient deformation profiles, proving that carefully configured DIC results are independent of the high-speed camera platform.  </w:t>
      </w:r>
    </w:p>
    <w:p w14:paraId="3ED71EE5" w14:textId="77777777" w:rsidR="006722EE" w:rsidRDefault="006722EE" w:rsidP="000E6A93">
      <w:pPr>
        <w:pStyle w:val="TTPParagraphothers"/>
        <w:ind w:firstLine="0"/>
        <w:rPr>
          <w:rFonts w:ascii="Arial" w:hAnsi="Arial" w:cs="Arial"/>
          <w:sz w:val="20"/>
          <w:szCs w:val="20"/>
          <w:lang w:val="en-GB"/>
        </w:rPr>
      </w:pPr>
    </w:p>
    <w:p w14:paraId="681D0509" w14:textId="01607AB2" w:rsidR="006722EE" w:rsidRDefault="0033311B" w:rsidP="000E6A93">
      <w:pPr>
        <w:pStyle w:val="TTPParagraphothers"/>
        <w:ind w:firstLine="0"/>
        <w:rPr>
          <w:rFonts w:ascii="Arial" w:hAnsi="Arial" w:cs="Arial"/>
          <w:sz w:val="20"/>
          <w:szCs w:val="20"/>
          <w:lang w:val="en-GB"/>
        </w:rPr>
      </w:pPr>
      <w:r w:rsidRPr="0033311B">
        <w:rPr>
          <w:rFonts w:ascii="Arial" w:hAnsi="Arial" w:cs="Arial"/>
          <w:sz w:val="20"/>
          <w:szCs w:val="20"/>
          <w:lang w:val="en-GB"/>
        </w:rPr>
        <w:t>Cross-Validation</w:t>
      </w:r>
      <w:r w:rsidR="006722EE">
        <w:rPr>
          <w:rFonts w:ascii="Arial" w:hAnsi="Arial" w:cs="Arial"/>
          <w:sz w:val="20"/>
          <w:szCs w:val="20"/>
          <w:lang w:val="en-GB"/>
        </w:rPr>
        <w:t xml:space="preserve"> of the</w:t>
      </w:r>
      <w:r w:rsidRPr="0033311B">
        <w:rPr>
          <w:rFonts w:ascii="Arial" w:hAnsi="Arial" w:cs="Arial"/>
          <w:sz w:val="20"/>
          <w:szCs w:val="20"/>
          <w:lang w:val="en-GB"/>
        </w:rPr>
        <w:t xml:space="preserve"> Inferred Specific Impulse vs. CoBL Pressure Bars</w:t>
      </w:r>
      <w:r w:rsidR="009F4C80">
        <w:rPr>
          <w:rFonts w:ascii="Arial" w:hAnsi="Arial" w:cs="Arial"/>
          <w:sz w:val="20"/>
          <w:szCs w:val="20"/>
          <w:lang w:val="en-GB"/>
        </w:rPr>
        <w:t xml:space="preserve"> </w:t>
      </w:r>
      <w:r w:rsidRPr="0033311B">
        <w:rPr>
          <w:rFonts w:ascii="Arial" w:hAnsi="Arial" w:cs="Arial"/>
          <w:sz w:val="20"/>
          <w:szCs w:val="20"/>
          <w:lang w:val="en-GB"/>
        </w:rPr>
        <w:t xml:space="preserve">Specific impulse distributions </w:t>
      </w:r>
    </w:p>
    <w:p w14:paraId="61FC92D8" w14:textId="5282E0D6" w:rsidR="006722EE" w:rsidRDefault="0033311B" w:rsidP="000E6A93">
      <w:pPr>
        <w:pStyle w:val="TTPParagraphothers"/>
        <w:ind w:firstLine="0"/>
        <w:rPr>
          <w:rFonts w:ascii="Arial" w:hAnsi="Arial" w:cs="Arial"/>
          <w:sz w:val="20"/>
          <w:szCs w:val="20"/>
          <w:lang w:val="en-GB"/>
        </w:rPr>
      </w:pPr>
      <w:r w:rsidRPr="0033311B">
        <w:rPr>
          <w:rFonts w:ascii="Arial" w:hAnsi="Arial" w:cs="Arial"/>
          <w:sz w:val="20"/>
          <w:szCs w:val="20"/>
          <w:lang w:val="en-GB"/>
        </w:rPr>
        <w:t xml:space="preserve">i(x) were </w:t>
      </w:r>
      <w:r w:rsidR="009F4C80">
        <w:rPr>
          <w:rFonts w:ascii="Arial" w:hAnsi="Arial" w:cs="Arial"/>
          <w:sz w:val="20"/>
          <w:szCs w:val="20"/>
          <w:lang w:val="en-GB"/>
        </w:rPr>
        <w:t>taken</w:t>
      </w:r>
      <w:r w:rsidRPr="0033311B">
        <w:rPr>
          <w:rFonts w:ascii="Arial" w:hAnsi="Arial" w:cs="Arial"/>
          <w:sz w:val="20"/>
          <w:szCs w:val="20"/>
          <w:lang w:val="en-GB"/>
        </w:rPr>
        <w:t xml:space="preserve"> directly from early-stage out-of-plane transient velocity profiles v(x) using a momentum equivalence formulation</w:t>
      </w:r>
      <w:r w:rsidR="00C27A15">
        <w:rPr>
          <w:rFonts w:ascii="Arial" w:hAnsi="Arial" w:cs="Arial"/>
          <w:sz w:val="20"/>
          <w:szCs w:val="20"/>
          <w:lang w:val="en-GB"/>
        </w:rPr>
        <w:t xml:space="preserve"> [7]</w:t>
      </w:r>
      <w:r w:rsidRPr="0033311B">
        <w:rPr>
          <w:rFonts w:ascii="Arial" w:hAnsi="Arial" w:cs="Arial"/>
          <w:sz w:val="20"/>
          <w:szCs w:val="20"/>
          <w:lang w:val="en-GB"/>
        </w:rPr>
        <w:t xml:space="preserve">:  </w:t>
      </w:r>
    </w:p>
    <w:p w14:paraId="276E241E" w14:textId="77777777" w:rsidR="009F4C80" w:rsidRDefault="009F4C80" w:rsidP="000E6A93">
      <w:pPr>
        <w:pStyle w:val="TTPParagraphothers"/>
        <w:ind w:firstLine="0"/>
        <w:rPr>
          <w:rFonts w:ascii="Arial" w:hAnsi="Arial" w:cs="Arial"/>
          <w:sz w:val="20"/>
          <w:szCs w:val="20"/>
          <w:lang w:val="en-GB"/>
        </w:rPr>
      </w:pPr>
    </w:p>
    <w:p w14:paraId="6D1091BD" w14:textId="77777777" w:rsidR="002E1E1B" w:rsidRPr="002E1E1B" w:rsidRDefault="002E1E1B" w:rsidP="000E6A93">
      <w:pPr>
        <w:pStyle w:val="TTPParagraphothers"/>
        <w:ind w:firstLine="0"/>
        <w:rPr>
          <w:rFonts w:ascii="Arial" w:eastAsia="Cambria Math" w:hAnsi="Arial" w:cs="Arial"/>
          <w:sz w:val="20"/>
          <w:szCs w:val="20"/>
        </w:rPr>
      </w:pPr>
      <w:r w:rsidRPr="002E1E1B">
        <w:rPr>
          <w:rFonts w:ascii="Arial" w:eastAsia="Cambria Math" w:hAnsi="Arial" w:cs="Arial"/>
          <w:sz w:val="20"/>
          <w:szCs w:val="20"/>
        </w:rPr>
        <w:fldChar w:fldCharType="begin"/>
      </w:r>
      <w:r w:rsidRPr="002E1E1B">
        <w:rPr>
          <w:rFonts w:ascii="Arial" w:eastAsia="Cambria Math" w:hAnsi="Arial" w:cs="Arial"/>
          <w:sz w:val="20"/>
          <w:szCs w:val="20"/>
        </w:rPr>
        <w:instrText xml:space="preserve"> QUOTE </w:instrText>
      </w:r>
      <w:r w:rsidRPr="002E1E1B">
        <w:rPr>
          <w:rFonts w:ascii="Arial" w:hAnsi="Arial" w:cs="Arial"/>
          <w:position w:val="-5"/>
          <w:sz w:val="20"/>
          <w:szCs w:val="20"/>
          <w:lang w:val="en-GB"/>
        </w:rPr>
        <w:pict w14:anchorId="7D120998">
          <v:shape id="_x0000_i1044" type="#_x0000_t75" style="width:79.2pt;height:13.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cei=&quot;http://schemas.microsoft.com/office/word/2026/wordml/cei&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printFractionalCharacterWidth/&gt;&lt;w:stylePaneFormatFilter w:val=&quot;3F01&quot;/&gt;&lt;w:defaultTabStop w:val=&quot;709&quot;/&gt;&lt;w:hyphenationZone w:val=&quot;425&quot;/&gt;&lt;w:doNotHyphenateCaps/&gt;&lt;w:drawingGridHorizontalSpacing w:val=&quot;120&quot;/&gt;&lt;w:drawingGridVerticalSpacing w:val=&quot;120&quot;/&gt;&lt;w:displayHorizontalDrawingGridEvery w:val=&quot;0&quot;/&gt;&lt;w:displayVerticalDrawingGridEvery w:val=&quot;3&quot;/&gt;&lt;w:useMarginsForDrawingGridOrigin/&gt;&lt;w:punctuationKerning/&gt;&lt;w:characterSpacingControl w:val=&quot;CompressPunctuation&quot;/&gt;&lt;w:optimizeForBrowser/&gt;&lt;w:allowPNG/&gt;&lt;w:pixelsPerInch w:val=&quot;120&quot;/&gt;&lt;w:validateAgainstSchema w:val=&quot;off&quot;/&gt;&lt;w:saveInvalidXML w:val=&quot;off&quot;/&gt;&lt;w:ignoreMixedContent w:val=&quot;off&quot;/&gt;&lt;w:alwaysShowPlaceholderText w:val=&quot;off&quot;/&gt;&lt;w:doNotUnderlineInvalidXML/&gt;&lt;w:compat&gt;&lt;w:printColBlack/&gt;&lt;w:showBreaksInFrames/&gt;&lt;w:suppressSpBfAfterPgBrk/&gt;&lt;w:swapBordersFacingPages/&gt;&lt;w:convMailMergeEsc/&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compat&gt;&lt;wsp:rsids&gt;&lt;wsp:rsidRoot wsp:val=&quot;00F30817&quot;/&gt;&lt;wsp:rsid wsp:val=&quot;0008025D&quot;/&gt;&lt;wsp:rsid wsp:val=&quot;000A6385&quot;/&gt;&lt;wsp:rsid wsp:val=&quot;000E6A93&quot;/&gt;&lt;wsp:rsid wsp:val=&quot;00136F14&quot;/&gt;&lt;wsp:rsid wsp:val=&quot;001708C7&quot;/&gt;&lt;wsp:rsid wsp:val=&quot;00175EDD&quot;/&gt;&lt;wsp:rsid wsp:val=&quot;00192CBA&quot;/&gt;&lt;wsp:rsid wsp:val=&quot;001B0DDB&quot;/&gt;&lt;wsp:rsid wsp:val=&quot;001C5B52&quot;/&gt;&lt;wsp:rsid wsp:val=&quot;001D308F&quot;/&gt;&lt;wsp:rsid wsp:val=&quot;001D7F0D&quot;/&gt;&lt;wsp:rsid wsp:val=&quot;00205C83&quot;/&gt;&lt;wsp:rsid wsp:val=&quot;0023633D&quot;/&gt;&lt;wsp:rsid wsp:val=&quot;002510F4&quot;/&gt;&lt;wsp:rsid wsp:val=&quot;00251A99&quot;/&gt;&lt;wsp:rsid wsp:val=&quot;00295485&quot;/&gt;&lt;wsp:rsid wsp:val=&quot;002A5A6D&quot;/&gt;&lt;wsp:rsid wsp:val=&quot;002C1997&quot;/&gt;&lt;wsp:rsid wsp:val=&quot;002E1E1B&quot;/&gt;&lt;wsp:rsid wsp:val=&quot;00310961&quot;/&gt;&lt;wsp:rsid wsp:val=&quot;003251E0&quot;/&gt;&lt;wsp:rsid wsp:val=&quot;0033311B&quot;/&gt;&lt;wsp:rsid wsp:val=&quot;00335F9D&quot;/&gt;&lt;wsp:rsid wsp:val=&quot;003473B4&quot;/&gt;&lt;wsp:rsid wsp:val=&quot;00367D3A&quot;/&gt;&lt;wsp:rsid wsp:val=&quot;003B5850&quot;/&gt;&lt;wsp:rsid wsp:val=&quot;003B777B&quot;/&gt;&lt;wsp:rsid wsp:val=&quot;003D1BE1&quot;/&gt;&lt;wsp:rsid wsp:val=&quot;00404449&quot;/&gt;&lt;wsp:rsid wsp:val=&quot;00460B21&quot;/&gt;&lt;wsp:rsid wsp:val=&quot;00465478&quot;/&gt;&lt;wsp:rsid wsp:val=&quot;00473A8E&quot;/&gt;&lt;wsp:rsid wsp:val=&quot;004A492F&quot;/&gt;&lt;wsp:rsid wsp:val=&quot;004C48B6&quot;/&gt;&lt;wsp:rsid wsp:val=&quot;0059548F&quot;/&gt;&lt;wsp:rsid wsp:val=&quot;005F7092&quot;/&gt;&lt;wsp:rsid wsp:val=&quot;00655B3A&quot;/&gt;&lt;wsp:rsid wsp:val=&quot;00660A63&quot;/&gt;&lt;wsp:rsid wsp:val=&quot;006722EE&quot;/&gt;&lt;wsp:rsid wsp:val=&quot;0067738F&quot;/&gt;&lt;wsp:rsid wsp:val=&quot;00690981&quot;/&gt;&lt;wsp:rsid wsp:val=&quot;006A6674&quot;/&gt;&lt;wsp:rsid wsp:val=&quot;006B347C&quot;/&gt;&lt;wsp:rsid wsp:val=&quot;007032C4&quot;/&gt;&lt;wsp:rsid wsp:val=&quot;007077CF&quot;/&gt;&lt;wsp:rsid wsp:val=&quot;00735F76&quot;/&gt;&lt;wsp:rsid wsp:val=&quot;007443B3&quot;/&gt;&lt;wsp:rsid wsp:val=&quot;0077338D&quot;/&gt;&lt;wsp:rsid wsp:val=&quot;00774597&quot;/&gt;&lt;wsp:rsid wsp:val=&quot;007F0D52&quot;/&gt;&lt;wsp:rsid wsp:val=&quot;00840F15&quot;/&gt;&lt;wsp:rsid wsp:val=&quot;008E0A35&quot;/&gt;&lt;wsp:rsid wsp:val=&quot;008F5FA6&quot;/&gt;&lt;wsp:rsid wsp:val=&quot;00961774&quot;/&gt;&lt;wsp:rsid wsp:val=&quot;00975783&quot;/&gt;&lt;wsp:rsid wsp:val=&quot;009F4C80&quot;/&gt;&lt;wsp:rsid wsp:val=&quot;00A031F5&quot;/&gt;&lt;wsp:rsid wsp:val=&quot;00A434E3&quot;/&gt;&lt;wsp:rsid wsp:val=&quot;00A45106&quot;/&gt;&lt;wsp:rsid wsp:val=&quot;00A557A5&quot;/&gt;&lt;wsp:rsid wsp:val=&quot;00A66599&quot;/&gt;&lt;wsp:rsid wsp:val=&quot;00A76C04&quot;/&gt;&lt;wsp:rsid wsp:val=&quot;00A8282E&quot;/&gt;&lt;wsp:rsid wsp:val=&quot;00A95A40&quot;/&gt;&lt;wsp:rsid wsp:val=&quot;00AD3A4F&quot;/&gt;&lt;wsp:rsid wsp:val=&quot;00B11627&quot;/&gt;&lt;wsp:rsid wsp:val=&quot;00B479FF&quot;/&gt;&lt;wsp:rsid wsp:val=&quot;00B952AD&quot;/&gt;&lt;wsp:rsid wsp:val=&quot;00BB5EF6&quot;/&gt;&lt;wsp:rsid wsp:val=&quot;00BC5761&quot;/&gt;&lt;wsp:rsid wsp:val=&quot;00C74C97&quot;/&gt;&lt;wsp:rsid wsp:val=&quot;00C83653&quot;/&gt;&lt;wsp:rsid wsp:val=&quot;00CB3DFF&quot;/&gt;&lt;wsp:rsid wsp:val=&quot;00CC0CCE&quot;/&gt;&lt;wsp:rsid wsp:val=&quot;00CF1396&quot;/&gt;&lt;wsp:rsid wsp:val=&quot;00D20412&quot;/&gt;&lt;wsp:rsid wsp:val=&quot;00D21AFA&quot;/&gt;&lt;wsp:rsid wsp:val=&quot;00D22891&quot;/&gt;&lt;wsp:rsid wsp:val=&quot;00D27BD6&quot;/&gt;&lt;wsp:rsid wsp:val=&quot;00D61911&quot;/&gt;&lt;wsp:rsid wsp:val=&quot;00D661DE&quot;/&gt;&lt;wsp:rsid wsp:val=&quot;00D862F2&quot;/&gt;&lt;wsp:rsid wsp:val=&quot;00DA4CD2&quot;/&gt;&lt;wsp:rsid wsp:val=&quot;00DA67AF&quot;/&gt;&lt;wsp:rsid wsp:val=&quot;00DB79E8&quot;/&gt;&lt;wsp:rsid wsp:val=&quot;00DD4E1D&quot;/&gt;&lt;wsp:rsid wsp:val=&quot;00DE4C49&quot;/&gt;&lt;wsp:rsid wsp:val=&quot;00EB154E&quot;/&gt;&lt;wsp:rsid wsp:val=&quot;00EE6D70&quot;/&gt;&lt;wsp:rsid wsp:val=&quot;00F01AD5&quot;/&gt;&lt;wsp:rsid wsp:val=&quot;00F17770&quot;/&gt;&lt;wsp:rsid wsp:val=&quot;00F30817&quot;/&gt;&lt;wsp:rsid wsp:val=&quot;00F7702D&quot;/&gt;&lt;wsp:rsid wsp:val=&quot;00F97079&quot;/&gt;&lt;wsp:rsid wsp:val=&quot;00FA14D3&quot;/&gt;&lt;wsp:rsid wsp:val=&quot;00FB0911&quot;/&gt;&lt;/wsp:rsids&gt;&lt;/w:docPr&gt;&lt;w:body&gt;&lt;wx:sect&gt;&lt;w:p wsp:rsidR=&quot;00B479FF&quot; wsp:rsidRDefault=&quot;00B479FF&quot; wsp:rsidP=&quot;00B479FF&quot;&gt;&lt;m:oMathPara&gt;&lt;m:oMath&gt;&lt;m:r&gt;&lt;w:rPr&gt;&lt;w:rFonts w:ascii=&quot;Cambria Math&quot; w:fareast=&quot;Cambria Math&quot; w:h-ansi=&quot;Cambria Math&quot; w:cs=&quot;Cambria Math&quot;/&gt;&lt;wx:font wx:val=&quot;Cambria Math&quot;/&gt;&lt;w:i/&gt;&lt;/w:rPr&gt;&lt;m:t&gt;i&lt;/m:t&gt;&lt;/m:r&gt;&lt;m:d&gt;&lt;m:dPr&gt;&lt;m:ctrlPr&gt;&lt;w:rPr&gt;&lt;w:rFonts w:ascii=&quot;Cambria Math&quot; w:fareast=&quot;Cambria Math&quot; w:h-ansi=&quot;Cambria Math&quot; w:cs=&quot;Cambria Math&quot;/&gt;&lt;wx:font wx:val=&quot;Cambria Math&quot;/&gt;&lt;/w:rPr&gt;&lt;/m:ctrlPr&gt;&lt;/m:dPr&gt;&lt;m:e&gt;&lt;m:r&gt;&lt;w:rPr&gt;&lt;w:rFonts w:ascii=&quot;Cambria Math&quot; w:fareast=&quot;Cambria Math&quot; w:h-ansi=&quot;Cambria Math&quot; w:cs=&quot;Cambria Math&quot;/&gt;&lt;wx:font wx:val=&quot;Cambria Math&quot;/&gt;&lt;w:i/&gt;&lt;/w:rPr&gt;&lt;m:t&gt;x&lt;/m:t&gt;&lt;/m:r&gt;&lt;/m:e&gt;&lt;/m:d&gt;&lt;m:r&gt;&lt;w:rPr&gt;&lt;w:rFonts w:ascii=&quot;Cambria Math&quot; w:fareast=&quot;Cambria Math&quot; w:h-ansi=&quot;Cambria Math&quot; w:cs=&quot;Cambria Math&quot;/&gt;&lt;wx:font wx:val=&quot;Cambria Math&quot;/&gt;&lt;w:i/&gt;&lt;/w:rPr&gt;&lt;m:t&gt;= Ït.v&lt;/m:t&gt;&lt;/m:r&gt;&lt;m:d&gt;&lt;m:dPr&gt;&lt;m:ctrlPr&gt;&lt;w:rPr&gt;&lt;w:rFonts w:ascii=&quot;Cambria Math&quot; w:fareast=&quot;Cambria Math&quot; w:h-ansi=&quot;Cambria Math&quot; w:cs=&quot;Cambria Math&quot;/&gt;&lt;wx:font wx:val=&quot;Cambria Math&quot;/&gt;&lt;/w:rPr&gt;&lt;/m:ctrlPr&gt;&lt;/m:dPr&gt;&lt;m:e&gt;&lt;m:r&gt;&lt;w:rPr&gt;&lt;w:rFonts w:ascii=&quot;Cambria Math&quot; w:fareast=&quot;Cambria Math&quot; w:h-ansi=&quot;Cambria Math&quot; w:cs=&quot;Cambria Math&quot;/&gt;&lt;wx:font wx:val=&quot;Cambria Math&quot;/&gt;&lt;w:i/&gt;&lt;/w:rPr&gt;&lt;m:t&gt;x&lt;/m:t&gt;&lt;/m:r&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2E1E1B">
        <w:rPr>
          <w:rFonts w:ascii="Arial" w:eastAsia="Cambria Math" w:hAnsi="Arial" w:cs="Arial"/>
          <w:sz w:val="20"/>
          <w:szCs w:val="20"/>
        </w:rPr>
        <w:instrText xml:space="preserve"> </w:instrText>
      </w:r>
      <w:r w:rsidRPr="002E1E1B">
        <w:rPr>
          <w:rFonts w:ascii="Arial" w:eastAsia="Cambria Math" w:hAnsi="Arial" w:cs="Arial"/>
          <w:sz w:val="20"/>
          <w:szCs w:val="20"/>
        </w:rPr>
        <w:fldChar w:fldCharType="separate"/>
      </w:r>
      <w:r w:rsidRPr="002E1E1B">
        <w:rPr>
          <w:rFonts w:ascii="Arial" w:hAnsi="Arial" w:cs="Arial"/>
          <w:position w:val="-5"/>
          <w:sz w:val="20"/>
          <w:szCs w:val="20"/>
          <w:lang w:val="en-GB"/>
        </w:rPr>
        <w:pict w14:anchorId="3B9FB516">
          <v:shape id="_x0000_i1045" type="#_x0000_t75" style="width:79.2pt;height:13.8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16cei=&quot;http://schemas.microsoft.com/office/word/2026/wordml/cei&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100&quot;/&gt;&lt;w:printFractionalCharacterWidth/&gt;&lt;w:stylePaneFormatFilter w:val=&quot;3F01&quot;/&gt;&lt;w:defaultTabStop w:val=&quot;709&quot;/&gt;&lt;w:hyphenationZone w:val=&quot;425&quot;/&gt;&lt;w:doNotHyphenateCaps/&gt;&lt;w:drawingGridHorizontalSpacing w:val=&quot;120&quot;/&gt;&lt;w:drawingGridVerticalSpacing w:val=&quot;120&quot;/&gt;&lt;w:displayHorizontalDrawingGridEvery w:val=&quot;0&quot;/&gt;&lt;w:displayVerticalDrawingGridEvery w:val=&quot;3&quot;/&gt;&lt;w:useMarginsForDrawingGridOrigin/&gt;&lt;w:punctuationKerning/&gt;&lt;w:characterSpacingControl w:val=&quot;CompressPunctuation&quot;/&gt;&lt;w:optimizeForBrowser/&gt;&lt;w:allowPNG/&gt;&lt;w:pixelsPerInch w:val=&quot;120&quot;/&gt;&lt;w:validateAgainstSchema w:val=&quot;off&quot;/&gt;&lt;w:saveInvalidXML w:val=&quot;off&quot;/&gt;&lt;w:ignoreMixedContent w:val=&quot;off&quot;/&gt;&lt;w:alwaysShowPlaceholderText w:val=&quot;off&quot;/&gt;&lt;w:doNotUnderlineInvalidXML/&gt;&lt;w:compat&gt;&lt;w:printColBlack/&gt;&lt;w:showBreaksInFrames/&gt;&lt;w:suppressSpBfAfterPgBrk/&gt;&lt;w:swapBordersFacingPages/&gt;&lt;w:convMailMergeEsc/&gt;&lt;w:usePrinterMetrics/&gt;&lt;w:footnoteLayoutLikeWW8/&gt;&lt;w:shapeLayoutLikeWW8/&gt;&lt;w:alignTablesRowByRow/&gt;&lt;w:forgetLastTabAlignment/&gt;&lt;w:noSpaceRaiseLower/&gt;&lt;w:doNotUseHTMLParagraphAutoSpacing/&gt;&lt;w:layoutRawTableWidth/&gt;&lt;w:layoutTableRowsApart/&gt;&lt;w:useWord97LineBreakingRules/&gt;&lt;w:dontAllowFieldEndSelect/&gt;&lt;w:useWord2002TableStyleRules/&gt;&lt;/w:compat&gt;&lt;wsp:rsids&gt;&lt;wsp:rsidRoot wsp:val=&quot;00F30817&quot;/&gt;&lt;wsp:rsid wsp:val=&quot;0008025D&quot;/&gt;&lt;wsp:rsid wsp:val=&quot;000A6385&quot;/&gt;&lt;wsp:rsid wsp:val=&quot;000E6A93&quot;/&gt;&lt;wsp:rsid wsp:val=&quot;00136F14&quot;/&gt;&lt;wsp:rsid wsp:val=&quot;001708C7&quot;/&gt;&lt;wsp:rsid wsp:val=&quot;00175EDD&quot;/&gt;&lt;wsp:rsid wsp:val=&quot;00192CBA&quot;/&gt;&lt;wsp:rsid wsp:val=&quot;001B0DDB&quot;/&gt;&lt;wsp:rsid wsp:val=&quot;001C5B52&quot;/&gt;&lt;wsp:rsid wsp:val=&quot;001D308F&quot;/&gt;&lt;wsp:rsid wsp:val=&quot;001D7F0D&quot;/&gt;&lt;wsp:rsid wsp:val=&quot;00205C83&quot;/&gt;&lt;wsp:rsid wsp:val=&quot;0023633D&quot;/&gt;&lt;wsp:rsid wsp:val=&quot;002510F4&quot;/&gt;&lt;wsp:rsid wsp:val=&quot;00251A99&quot;/&gt;&lt;wsp:rsid wsp:val=&quot;00295485&quot;/&gt;&lt;wsp:rsid wsp:val=&quot;002A5A6D&quot;/&gt;&lt;wsp:rsid wsp:val=&quot;002C1997&quot;/&gt;&lt;wsp:rsid wsp:val=&quot;002E1E1B&quot;/&gt;&lt;wsp:rsid wsp:val=&quot;00310961&quot;/&gt;&lt;wsp:rsid wsp:val=&quot;003251E0&quot;/&gt;&lt;wsp:rsid wsp:val=&quot;0033311B&quot;/&gt;&lt;wsp:rsid wsp:val=&quot;00335F9D&quot;/&gt;&lt;wsp:rsid wsp:val=&quot;003473B4&quot;/&gt;&lt;wsp:rsid wsp:val=&quot;00367D3A&quot;/&gt;&lt;wsp:rsid wsp:val=&quot;003B5850&quot;/&gt;&lt;wsp:rsid wsp:val=&quot;003B777B&quot;/&gt;&lt;wsp:rsid wsp:val=&quot;003D1BE1&quot;/&gt;&lt;wsp:rsid wsp:val=&quot;00404449&quot;/&gt;&lt;wsp:rsid wsp:val=&quot;00460B21&quot;/&gt;&lt;wsp:rsid wsp:val=&quot;00465478&quot;/&gt;&lt;wsp:rsid wsp:val=&quot;00473A8E&quot;/&gt;&lt;wsp:rsid wsp:val=&quot;004A492F&quot;/&gt;&lt;wsp:rsid wsp:val=&quot;004C48B6&quot;/&gt;&lt;wsp:rsid wsp:val=&quot;0059548F&quot;/&gt;&lt;wsp:rsid wsp:val=&quot;005F7092&quot;/&gt;&lt;wsp:rsid wsp:val=&quot;00655B3A&quot;/&gt;&lt;wsp:rsid wsp:val=&quot;00660A63&quot;/&gt;&lt;wsp:rsid wsp:val=&quot;006722EE&quot;/&gt;&lt;wsp:rsid wsp:val=&quot;0067738F&quot;/&gt;&lt;wsp:rsid wsp:val=&quot;00690981&quot;/&gt;&lt;wsp:rsid wsp:val=&quot;006A6674&quot;/&gt;&lt;wsp:rsid wsp:val=&quot;006B347C&quot;/&gt;&lt;wsp:rsid wsp:val=&quot;007032C4&quot;/&gt;&lt;wsp:rsid wsp:val=&quot;007077CF&quot;/&gt;&lt;wsp:rsid wsp:val=&quot;00735F76&quot;/&gt;&lt;wsp:rsid wsp:val=&quot;007443B3&quot;/&gt;&lt;wsp:rsid wsp:val=&quot;0077338D&quot;/&gt;&lt;wsp:rsid wsp:val=&quot;00774597&quot;/&gt;&lt;wsp:rsid wsp:val=&quot;007F0D52&quot;/&gt;&lt;wsp:rsid wsp:val=&quot;00840F15&quot;/&gt;&lt;wsp:rsid wsp:val=&quot;008E0A35&quot;/&gt;&lt;wsp:rsid wsp:val=&quot;008F5FA6&quot;/&gt;&lt;wsp:rsid wsp:val=&quot;00961774&quot;/&gt;&lt;wsp:rsid wsp:val=&quot;00975783&quot;/&gt;&lt;wsp:rsid wsp:val=&quot;009F4C80&quot;/&gt;&lt;wsp:rsid wsp:val=&quot;00A031F5&quot;/&gt;&lt;wsp:rsid wsp:val=&quot;00A434E3&quot;/&gt;&lt;wsp:rsid wsp:val=&quot;00A45106&quot;/&gt;&lt;wsp:rsid wsp:val=&quot;00A557A5&quot;/&gt;&lt;wsp:rsid wsp:val=&quot;00A66599&quot;/&gt;&lt;wsp:rsid wsp:val=&quot;00A76C04&quot;/&gt;&lt;wsp:rsid wsp:val=&quot;00A8282E&quot;/&gt;&lt;wsp:rsid wsp:val=&quot;00A95A40&quot;/&gt;&lt;wsp:rsid wsp:val=&quot;00AD3A4F&quot;/&gt;&lt;wsp:rsid wsp:val=&quot;00B11627&quot;/&gt;&lt;wsp:rsid wsp:val=&quot;00B479FF&quot;/&gt;&lt;wsp:rsid wsp:val=&quot;00B952AD&quot;/&gt;&lt;wsp:rsid wsp:val=&quot;00BB5EF6&quot;/&gt;&lt;wsp:rsid wsp:val=&quot;00BC5761&quot;/&gt;&lt;wsp:rsid wsp:val=&quot;00C74C97&quot;/&gt;&lt;wsp:rsid wsp:val=&quot;00C83653&quot;/&gt;&lt;wsp:rsid wsp:val=&quot;00CB3DFF&quot;/&gt;&lt;wsp:rsid wsp:val=&quot;00CC0CCE&quot;/&gt;&lt;wsp:rsid wsp:val=&quot;00CF1396&quot;/&gt;&lt;wsp:rsid wsp:val=&quot;00D20412&quot;/&gt;&lt;wsp:rsid wsp:val=&quot;00D21AFA&quot;/&gt;&lt;wsp:rsid wsp:val=&quot;00D22891&quot;/&gt;&lt;wsp:rsid wsp:val=&quot;00D27BD6&quot;/&gt;&lt;wsp:rsid wsp:val=&quot;00D61911&quot;/&gt;&lt;wsp:rsid wsp:val=&quot;00D661DE&quot;/&gt;&lt;wsp:rsid wsp:val=&quot;00D862F2&quot;/&gt;&lt;wsp:rsid wsp:val=&quot;00DA4CD2&quot;/&gt;&lt;wsp:rsid wsp:val=&quot;00DA67AF&quot;/&gt;&lt;wsp:rsid wsp:val=&quot;00DB79E8&quot;/&gt;&lt;wsp:rsid wsp:val=&quot;00DD4E1D&quot;/&gt;&lt;wsp:rsid wsp:val=&quot;00DE4C49&quot;/&gt;&lt;wsp:rsid wsp:val=&quot;00EB154E&quot;/&gt;&lt;wsp:rsid wsp:val=&quot;00EE6D70&quot;/&gt;&lt;wsp:rsid wsp:val=&quot;00F01AD5&quot;/&gt;&lt;wsp:rsid wsp:val=&quot;00F17770&quot;/&gt;&lt;wsp:rsid wsp:val=&quot;00F30817&quot;/&gt;&lt;wsp:rsid wsp:val=&quot;00F7702D&quot;/&gt;&lt;wsp:rsid wsp:val=&quot;00F97079&quot;/&gt;&lt;wsp:rsid wsp:val=&quot;00FA14D3&quot;/&gt;&lt;wsp:rsid wsp:val=&quot;00FB0911&quot;/&gt;&lt;/wsp:rsids&gt;&lt;/w:docPr&gt;&lt;w:body&gt;&lt;wx:sect&gt;&lt;w:p wsp:rsidR=&quot;00B479FF&quot; wsp:rsidRDefault=&quot;00B479FF&quot; wsp:rsidP=&quot;00B479FF&quot;&gt;&lt;m:oMathPara&gt;&lt;m:oMath&gt;&lt;m:r&gt;&lt;w:rPr&gt;&lt;w:rFonts w:ascii=&quot;Cambria Math&quot; w:fareast=&quot;Cambria Math&quot; w:h-ansi=&quot;Cambria Math&quot; w:cs=&quot;Cambria Math&quot;/&gt;&lt;wx:font wx:val=&quot;Cambria Math&quot;/&gt;&lt;w:i/&gt;&lt;/w:rPr&gt;&lt;m:t&gt;i&lt;/m:t&gt;&lt;/m:r&gt;&lt;m:d&gt;&lt;m:dPr&gt;&lt;m:ctrlPr&gt;&lt;w:rPr&gt;&lt;w:rFonts w:ascii=&quot;Cambria Math&quot; w:fareast=&quot;Cambria Math&quot; w:h-ansi=&quot;Cambria Math&quot; w:cs=&quot;Cambria Math&quot;/&gt;&lt;wx:font wx:val=&quot;Cambria Math&quot;/&gt;&lt;/w:rPr&gt;&lt;/m:ctrlPr&gt;&lt;/m:dPr&gt;&lt;m:e&gt;&lt;m:r&gt;&lt;w:rPr&gt;&lt;w:rFonts w:ascii=&quot;Cambria Math&quot; w:fareast=&quot;Cambria Math&quot; w:h-ansi=&quot;Cambria Math&quot; w:cs=&quot;Cambria Math&quot;/&gt;&lt;wx:font wx:val=&quot;Cambria Math&quot;/&gt;&lt;w:i/&gt;&lt;/w:rPr&gt;&lt;m:t&gt;x&lt;/m:t&gt;&lt;/m:r&gt;&lt;/m:e&gt;&lt;/m:d&gt;&lt;m:r&gt;&lt;w:rPr&gt;&lt;w:rFonts w:ascii=&quot;Cambria Math&quot; w:fareast=&quot;Cambria Math&quot; w:h-ansi=&quot;Cambria Math&quot; w:cs=&quot;Cambria Math&quot;/&gt;&lt;wx:font wx:val=&quot;Cambria Math&quot;/&gt;&lt;w:i/&gt;&lt;/w:rPr&gt;&lt;m:t&gt;= Ït.v&lt;/m:t&gt;&lt;/m:r&gt;&lt;m:d&gt;&lt;m:dPr&gt;&lt;m:ctrlPr&gt;&lt;w:rPr&gt;&lt;w:rFonts w:ascii=&quot;Cambria Math&quot; w:fareast=&quot;Cambria Math&quot; w:h-ansi=&quot;Cambria Math&quot; w:cs=&quot;Cambria Math&quot;/&gt;&lt;wx:font wx:val=&quot;Cambria Math&quot;/&gt;&lt;/w:rPr&gt;&lt;/m:ctrlPr&gt;&lt;/m:dPr&gt;&lt;m:e&gt;&lt;m:r&gt;&lt;w:rPr&gt;&lt;w:rFonts w:ascii=&quot;Cambria Math&quot; w:fareast=&quot;Cambria Math&quot; w:h-ansi=&quot;Cambria Math&quot; w:cs=&quot;Cambria Math&quot;/&gt;&lt;wx:font wx:val=&quot;Cambria Math&quot;/&gt;&lt;w:i/&gt;&lt;/w:rPr&gt;&lt;m:t&gt;x&lt;/m:t&gt;&lt;/m:r&gt;&lt;/m:e&gt;&lt;/m:d&gt;&lt;/m:oMath&gt;&lt;/m:oMathPara&gt;&lt;/w:p&gt;&lt;w:sectPr wsp:rsidR=&quot;00000000&quot;&gt;&lt;w:pgSz w:w=&quot;12240&quot; w:h=&quot;15840&quot;/&gt;&lt;w:pgMar w:top=&quot;1440&quot; w:right=&quot;1440&quot; w:bottom=&quot;1440&quot; w:left=&quot;1440&quot; w:header=&quot;720&quot; w:footer=&quot;720&quot; w:gutter=&quot;0&quot;/&gt;&lt;w:cols w:space=&quot;720&quot;/&gt;&lt;/w:sectPr&gt;&lt;/wx:sect&gt;&lt;/w:body&gt;&lt;/w:wordDocument&gt;">
            <v:imagedata r:id="rId8" o:title="" chromakey="white"/>
          </v:shape>
        </w:pict>
      </w:r>
      <w:r w:rsidRPr="002E1E1B">
        <w:rPr>
          <w:rFonts w:ascii="Arial" w:eastAsia="Cambria Math" w:hAnsi="Arial" w:cs="Arial"/>
          <w:sz w:val="20"/>
          <w:szCs w:val="20"/>
        </w:rPr>
        <w:fldChar w:fldCharType="end"/>
      </w:r>
      <w:r w:rsidRPr="002E1E1B">
        <w:rPr>
          <w:rFonts w:ascii="Arial" w:eastAsia="Cambria Math" w:hAnsi="Arial" w:cs="Arial"/>
          <w:sz w:val="20"/>
          <w:szCs w:val="20"/>
        </w:rPr>
        <w:tab/>
      </w:r>
    </w:p>
    <w:p w14:paraId="6EFE0724" w14:textId="406C1507" w:rsidR="00B6782A" w:rsidRPr="00C27A15" w:rsidRDefault="002E1E1B" w:rsidP="00C27A15">
      <w:pPr>
        <w:rPr>
          <w:rFonts w:ascii="Arial" w:hAnsi="Arial" w:cs="Arial"/>
        </w:rPr>
      </w:pPr>
      <w:r w:rsidRPr="002E1E1B">
        <w:rPr>
          <w:rFonts w:ascii="Arial" w:hAnsi="Arial" w:cs="Arial"/>
        </w:rPr>
        <w:t xml:space="preserve">Where </w:t>
      </w:r>
      <w:r w:rsidRPr="002E1E1B">
        <w:rPr>
          <w:rFonts w:ascii="Arial" w:hAnsi="Arial" w:cs="Arial"/>
          <w:i/>
        </w:rPr>
        <w:t xml:space="preserve">i(x) </w:t>
      </w:r>
      <w:r w:rsidRPr="002E1E1B">
        <w:rPr>
          <w:rFonts w:ascii="Arial" w:hAnsi="Arial" w:cs="Arial"/>
        </w:rPr>
        <w:t xml:space="preserve">is the specific impulse, </w:t>
      </w:r>
      <w:r w:rsidRPr="002E1E1B">
        <w:rPr>
          <w:rFonts w:ascii="Arial" w:hAnsi="Arial" w:cs="Arial"/>
          <w:i/>
        </w:rPr>
        <w:t>ρ</w:t>
      </w:r>
      <w:r w:rsidRPr="002E1E1B">
        <w:rPr>
          <w:rFonts w:ascii="Arial" w:hAnsi="Arial" w:cs="Arial"/>
        </w:rPr>
        <w:t xml:space="preserve"> is the density (assumed to be 7850 kg/m</w:t>
      </w:r>
      <w:r w:rsidRPr="002E1E1B">
        <w:rPr>
          <w:rFonts w:ascii="Arial" w:hAnsi="Arial" w:cs="Arial"/>
          <w:vertAlign w:val="superscript"/>
        </w:rPr>
        <w:t>3</w:t>
      </w:r>
      <w:r w:rsidRPr="002E1E1B">
        <w:rPr>
          <w:rFonts w:ascii="Arial" w:hAnsi="Arial" w:cs="Arial"/>
        </w:rPr>
        <w:t xml:space="preserve">) and </w:t>
      </w:r>
      <w:r w:rsidRPr="002E1E1B">
        <w:rPr>
          <w:rFonts w:ascii="Arial" w:hAnsi="Arial" w:cs="Arial"/>
          <w:i/>
        </w:rPr>
        <w:t>t</w:t>
      </w:r>
      <w:r w:rsidRPr="002E1E1B">
        <w:rPr>
          <w:rFonts w:ascii="Arial" w:hAnsi="Arial" w:cs="Arial"/>
        </w:rPr>
        <w:t xml:space="preserve"> is the plate thickness (nominally 3mm, but the measured value is used for each test). </w:t>
      </w:r>
      <w:r w:rsidR="0033311B" w:rsidRPr="0033311B">
        <w:rPr>
          <w:rFonts w:ascii="Arial" w:hAnsi="Arial" w:cs="Arial"/>
          <w:lang w:val="en-GB"/>
        </w:rPr>
        <w:t xml:space="preserve">Inferred central specific impulses from 30 g cylindrical charges at 50 mm SOD exhibited less than 5% deviation from CoBL records (epicentral DIC values were only ~0.35 MPa·ms lower than CoBL). For 20 g charges, the difference was ~0.15 MPa·ms.  </w:t>
      </w:r>
    </w:p>
    <w:p w14:paraId="4F583B84" w14:textId="0D6F90FA" w:rsidR="009F4C80" w:rsidRDefault="0033311B" w:rsidP="00C27A15">
      <w:pPr>
        <w:pStyle w:val="TTPParagraphothers"/>
        <w:ind w:firstLine="0"/>
        <w:rPr>
          <w:rFonts w:ascii="Arial" w:hAnsi="Arial" w:cs="Arial"/>
          <w:sz w:val="20"/>
          <w:szCs w:val="20"/>
          <w:lang w:val="en-GB"/>
        </w:rPr>
      </w:pPr>
      <w:r w:rsidRPr="0033311B">
        <w:rPr>
          <w:rFonts w:ascii="Arial" w:hAnsi="Arial" w:cs="Arial"/>
          <w:sz w:val="20"/>
          <w:szCs w:val="20"/>
          <w:lang w:val="en-GB"/>
        </w:rPr>
        <w:t xml:space="preserve">Cumulative Impulse Integration: Spatial integration of specific impulse across radial coordinates demonstrated excellent total impulse agreement ~27Ns for 30 g charges and ~21Ns for 20 g charges).  </w:t>
      </w:r>
    </w:p>
    <w:p w14:paraId="45E02977" w14:textId="77777777" w:rsidR="009F4C80" w:rsidRDefault="009F4C80" w:rsidP="0033311B">
      <w:pPr>
        <w:pStyle w:val="TTPParagraphothers"/>
        <w:rPr>
          <w:rFonts w:ascii="Arial" w:hAnsi="Arial" w:cs="Arial"/>
          <w:sz w:val="20"/>
          <w:szCs w:val="20"/>
          <w:lang w:val="en-GB"/>
        </w:rPr>
      </w:pPr>
    </w:p>
    <w:p w14:paraId="3488B413" w14:textId="0EFE6A86" w:rsidR="007443B3" w:rsidRDefault="009F4C80" w:rsidP="00C27A15">
      <w:pPr>
        <w:pStyle w:val="TTPParagraphothers"/>
        <w:ind w:firstLine="0"/>
        <w:rPr>
          <w:rFonts w:ascii="Arial" w:hAnsi="Arial" w:cs="Arial"/>
          <w:sz w:val="20"/>
          <w:szCs w:val="20"/>
          <w:lang w:val="en-GB"/>
        </w:rPr>
      </w:pPr>
      <w:r>
        <w:rPr>
          <w:rFonts w:ascii="Arial" w:hAnsi="Arial" w:cs="Arial"/>
          <w:sz w:val="20"/>
          <w:szCs w:val="20"/>
          <w:lang w:val="en-GB"/>
        </w:rPr>
        <w:t>T</w:t>
      </w:r>
      <w:r w:rsidR="0033311B" w:rsidRPr="0033311B">
        <w:rPr>
          <w:rFonts w:ascii="Arial" w:hAnsi="Arial" w:cs="Arial"/>
          <w:sz w:val="20"/>
          <w:szCs w:val="20"/>
          <w:lang w:val="en-GB"/>
        </w:rPr>
        <w:t>he slight reduction in epicentral DIC momentum relative to CoBL is attributed to early-stage structural membrane stretching and shear resistance, which redistributes momentum to adjacent radial zones prior to full load duration completion</w:t>
      </w:r>
      <w:r w:rsidR="00B6782A">
        <w:rPr>
          <w:rFonts w:ascii="Arial" w:hAnsi="Arial" w:cs="Arial"/>
          <w:sz w:val="20"/>
          <w:szCs w:val="20"/>
          <w:lang w:val="en-GB"/>
        </w:rPr>
        <w:t>.</w:t>
      </w:r>
    </w:p>
    <w:p w14:paraId="38DEF299" w14:textId="77777777" w:rsidR="007443B3" w:rsidRDefault="007443B3" w:rsidP="0033311B">
      <w:pPr>
        <w:pStyle w:val="TTPParagraphothers"/>
        <w:rPr>
          <w:rFonts w:ascii="Arial" w:hAnsi="Arial" w:cs="Arial"/>
          <w:sz w:val="20"/>
          <w:szCs w:val="20"/>
          <w:lang w:val="en-GB"/>
        </w:rPr>
      </w:pPr>
    </w:p>
    <w:p w14:paraId="1C0D1D7F" w14:textId="1A38C7AB" w:rsidR="007443B3" w:rsidRPr="00BE0EF5" w:rsidRDefault="0033311B" w:rsidP="00BE0EF5">
      <w:pPr>
        <w:pStyle w:val="TTPParagraphothers"/>
        <w:ind w:firstLine="0"/>
        <w:rPr>
          <w:rFonts w:ascii="Arial" w:hAnsi="Arial" w:cs="Arial"/>
          <w:b/>
          <w:bCs/>
          <w:sz w:val="20"/>
          <w:szCs w:val="20"/>
          <w:lang w:val="en-GB"/>
        </w:rPr>
      </w:pPr>
      <w:r w:rsidRPr="00BE0EF5">
        <w:rPr>
          <w:rFonts w:ascii="Arial" w:hAnsi="Arial" w:cs="Arial"/>
          <w:b/>
          <w:bCs/>
          <w:sz w:val="20"/>
          <w:szCs w:val="20"/>
          <w:lang w:val="en-GB"/>
        </w:rPr>
        <w:t>Key Experimental Findings</w:t>
      </w:r>
    </w:p>
    <w:p w14:paraId="05FF0BBC" w14:textId="0F6B6B85" w:rsidR="007443B3" w:rsidRDefault="00BE0EF5" w:rsidP="00BE0EF5">
      <w:pPr>
        <w:pStyle w:val="TTPParagraphothers"/>
        <w:ind w:firstLine="0"/>
        <w:rPr>
          <w:rFonts w:ascii="Arial" w:hAnsi="Arial" w:cs="Arial"/>
          <w:sz w:val="20"/>
          <w:szCs w:val="20"/>
          <w:lang w:val="en-GB"/>
        </w:rPr>
      </w:pPr>
      <w:r>
        <w:rPr>
          <w:rFonts w:ascii="Arial" w:hAnsi="Arial" w:cs="Arial"/>
          <w:sz w:val="20"/>
          <w:szCs w:val="20"/>
          <w:lang w:val="en-GB"/>
        </w:rPr>
        <w:t>The i</w:t>
      </w:r>
      <w:r w:rsidR="0033311B" w:rsidRPr="0033311B">
        <w:rPr>
          <w:rFonts w:ascii="Arial" w:hAnsi="Arial" w:cs="Arial"/>
          <w:sz w:val="20"/>
          <w:szCs w:val="20"/>
          <w:lang w:val="en-GB"/>
        </w:rPr>
        <w:t>nfluence of Charge Geometry</w:t>
      </w:r>
      <w:r>
        <w:rPr>
          <w:rFonts w:ascii="Arial" w:hAnsi="Arial" w:cs="Arial"/>
          <w:sz w:val="20"/>
          <w:szCs w:val="20"/>
          <w:lang w:val="en-GB"/>
        </w:rPr>
        <w:t xml:space="preserve"> can be seen in f</w:t>
      </w:r>
      <w:r w:rsidR="0033311B" w:rsidRPr="0033311B">
        <w:rPr>
          <w:rFonts w:ascii="Arial" w:hAnsi="Arial" w:cs="Arial"/>
          <w:sz w:val="20"/>
          <w:szCs w:val="20"/>
          <w:lang w:val="en-GB"/>
        </w:rPr>
        <w:t xml:space="preserve">ull-field DIC measurements </w:t>
      </w:r>
      <w:r>
        <w:rPr>
          <w:rFonts w:ascii="Arial" w:hAnsi="Arial" w:cs="Arial"/>
          <w:sz w:val="20"/>
          <w:szCs w:val="20"/>
          <w:lang w:val="en-GB"/>
        </w:rPr>
        <w:t xml:space="preserve">which </w:t>
      </w:r>
      <w:r w:rsidR="0033311B" w:rsidRPr="0033311B">
        <w:rPr>
          <w:rFonts w:ascii="Arial" w:hAnsi="Arial" w:cs="Arial"/>
          <w:sz w:val="20"/>
          <w:szCs w:val="20"/>
          <w:lang w:val="en-GB"/>
        </w:rPr>
        <w:t>successfully captured distinct transient deformation mechanisms governed by charge shape</w:t>
      </w:r>
      <w:r>
        <w:rPr>
          <w:rFonts w:ascii="Arial" w:hAnsi="Arial" w:cs="Arial"/>
          <w:sz w:val="20"/>
          <w:szCs w:val="20"/>
          <w:lang w:val="en-GB"/>
        </w:rPr>
        <w:t>.</w:t>
      </w:r>
      <w:r w:rsidR="0033311B" w:rsidRPr="0033311B">
        <w:rPr>
          <w:rFonts w:ascii="Arial" w:hAnsi="Arial" w:cs="Arial"/>
          <w:sz w:val="20"/>
          <w:szCs w:val="20"/>
          <w:lang w:val="en-GB"/>
        </w:rPr>
        <w:t xml:space="preserve"> Cylindrical Charges</w:t>
      </w:r>
      <w:r>
        <w:rPr>
          <w:rFonts w:ascii="Arial" w:hAnsi="Arial" w:cs="Arial"/>
          <w:sz w:val="20"/>
          <w:szCs w:val="20"/>
          <w:lang w:val="en-GB"/>
        </w:rPr>
        <w:t xml:space="preserve"> showed</w:t>
      </w:r>
      <w:r w:rsidR="0033311B" w:rsidRPr="0033311B">
        <w:rPr>
          <w:rFonts w:ascii="Arial" w:hAnsi="Arial" w:cs="Arial"/>
          <w:sz w:val="20"/>
          <w:szCs w:val="20"/>
          <w:lang w:val="en-GB"/>
        </w:rPr>
        <w:t xml:space="preserve"> highly localized, high-velocity deformation caps</w:t>
      </w:r>
      <w:r>
        <w:rPr>
          <w:rFonts w:ascii="Arial" w:hAnsi="Arial" w:cs="Arial"/>
          <w:sz w:val="20"/>
          <w:szCs w:val="20"/>
          <w:lang w:val="en-GB"/>
        </w:rPr>
        <w:t xml:space="preserve"> (</w:t>
      </w:r>
      <w:r w:rsidR="0033311B" w:rsidRPr="0033311B">
        <w:rPr>
          <w:rFonts w:ascii="Arial" w:hAnsi="Arial" w:cs="Arial"/>
          <w:sz w:val="20"/>
          <w:szCs w:val="20"/>
          <w:lang w:val="en-GB"/>
        </w:rPr>
        <w:t>v</w:t>
      </w:r>
      <w:r>
        <w:rPr>
          <w:rFonts w:ascii="Arial" w:hAnsi="Arial" w:cs="Arial"/>
          <w:sz w:val="20"/>
          <w:szCs w:val="20"/>
          <w:vertAlign w:val="subscript"/>
          <w:lang w:val="en-GB"/>
        </w:rPr>
        <w:t>max</w:t>
      </w:r>
      <w:r w:rsidR="0033311B" w:rsidRPr="0033311B">
        <w:rPr>
          <w:rFonts w:ascii="Arial" w:hAnsi="Arial" w:cs="Arial"/>
          <w:sz w:val="20"/>
          <w:szCs w:val="20"/>
          <w:lang w:val="en-GB"/>
        </w:rPr>
        <w:t xml:space="preserve"> &gt; 330m/s</w:t>
      </w:r>
      <w:r>
        <w:rPr>
          <w:rFonts w:ascii="Arial" w:hAnsi="Arial" w:cs="Arial"/>
          <w:sz w:val="20"/>
          <w:szCs w:val="20"/>
          <w:lang w:val="en-GB"/>
        </w:rPr>
        <w:t>)</w:t>
      </w:r>
      <w:r w:rsidR="0033311B" w:rsidRPr="0033311B">
        <w:rPr>
          <w:rFonts w:ascii="Arial" w:hAnsi="Arial" w:cs="Arial"/>
          <w:sz w:val="20"/>
          <w:szCs w:val="20"/>
          <w:lang w:val="en-GB"/>
        </w:rPr>
        <w:t>, producing sharp conical profiles. Peak displacements were 50%–80% larger than spherical counterparts.  Spherical Charges</w:t>
      </w:r>
      <w:r>
        <w:rPr>
          <w:rFonts w:ascii="Arial" w:hAnsi="Arial" w:cs="Arial"/>
          <w:sz w:val="20"/>
          <w:szCs w:val="20"/>
          <w:lang w:val="en-GB"/>
        </w:rPr>
        <w:t xml:space="preserve"> p</w:t>
      </w:r>
      <w:r w:rsidR="0033311B" w:rsidRPr="0033311B">
        <w:rPr>
          <w:rFonts w:ascii="Arial" w:hAnsi="Arial" w:cs="Arial"/>
          <w:sz w:val="20"/>
          <w:szCs w:val="20"/>
          <w:lang w:val="en-GB"/>
        </w:rPr>
        <w:t>roduced broader, dome-shaped deformation modes characterized by lower initial velocities (v</w:t>
      </w:r>
      <w:r>
        <w:rPr>
          <w:rFonts w:ascii="Arial" w:hAnsi="Arial" w:cs="Arial"/>
          <w:sz w:val="20"/>
          <w:szCs w:val="20"/>
          <w:vertAlign w:val="subscript"/>
          <w:lang w:val="en-GB"/>
        </w:rPr>
        <w:t>max</w:t>
      </w:r>
      <w:r w:rsidR="0033311B" w:rsidRPr="0033311B">
        <w:rPr>
          <w:rFonts w:ascii="Arial" w:hAnsi="Arial" w:cs="Arial"/>
          <w:sz w:val="20"/>
          <w:szCs w:val="20"/>
          <w:lang w:val="en-GB"/>
        </w:rPr>
        <w:t xml:space="preserve"> &lt; 100m/s) and more distributed loading profiles across the central 100 mm region.  </w:t>
      </w:r>
    </w:p>
    <w:p w14:paraId="56A29AE3" w14:textId="25F48558" w:rsidR="00BE0EF5" w:rsidRDefault="0033311B" w:rsidP="00BE0EF5">
      <w:pPr>
        <w:pStyle w:val="TTPParagraphothers"/>
        <w:ind w:firstLine="0"/>
        <w:rPr>
          <w:rFonts w:ascii="Arial" w:hAnsi="Arial" w:cs="Arial"/>
          <w:sz w:val="20"/>
          <w:szCs w:val="20"/>
          <w:lang w:val="en-GB"/>
        </w:rPr>
      </w:pPr>
      <w:r w:rsidRPr="0033311B">
        <w:rPr>
          <w:rFonts w:ascii="Arial" w:hAnsi="Arial" w:cs="Arial"/>
          <w:sz w:val="20"/>
          <w:szCs w:val="20"/>
          <w:lang w:val="en-GB"/>
        </w:rPr>
        <w:t>Wave Propagation and Boundary Reflections</w:t>
      </w:r>
      <w:r w:rsidR="00BE0EF5">
        <w:rPr>
          <w:rFonts w:ascii="Arial" w:hAnsi="Arial" w:cs="Arial"/>
          <w:sz w:val="20"/>
          <w:szCs w:val="20"/>
          <w:lang w:val="en-GB"/>
        </w:rPr>
        <w:t xml:space="preserve"> affect t</w:t>
      </w:r>
      <w:r w:rsidRPr="0033311B">
        <w:rPr>
          <w:rFonts w:ascii="Arial" w:hAnsi="Arial" w:cs="Arial"/>
          <w:sz w:val="20"/>
          <w:szCs w:val="20"/>
          <w:lang w:val="en-GB"/>
        </w:rPr>
        <w:t>ransient velocity maps</w:t>
      </w:r>
      <w:r w:rsidR="00BE0EF5">
        <w:rPr>
          <w:rFonts w:ascii="Arial" w:hAnsi="Arial" w:cs="Arial"/>
          <w:sz w:val="20"/>
          <w:szCs w:val="20"/>
          <w:lang w:val="en-GB"/>
        </w:rPr>
        <w:t xml:space="preserve"> which</w:t>
      </w:r>
      <w:r w:rsidRPr="0033311B">
        <w:rPr>
          <w:rFonts w:ascii="Arial" w:hAnsi="Arial" w:cs="Arial"/>
          <w:sz w:val="20"/>
          <w:szCs w:val="20"/>
          <w:lang w:val="en-GB"/>
        </w:rPr>
        <w:t xml:space="preserve"> revealed the propagation of an initial elastic disturbance followed by a slower plastic shear wave moving radially toward the clamp frame. Upon reaching the boundaries (</w:t>
      </w:r>
      <w:r w:rsidR="00BE0EF5">
        <w:rPr>
          <w:rFonts w:ascii="Arial" w:hAnsi="Arial" w:cs="Arial"/>
          <w:sz w:val="20"/>
          <w:szCs w:val="20"/>
          <w:lang w:val="en-GB"/>
        </w:rPr>
        <w:t>~</w:t>
      </w:r>
      <w:r w:rsidRPr="0033311B">
        <w:rPr>
          <w:rFonts w:ascii="Arial" w:hAnsi="Arial" w:cs="Arial"/>
          <w:sz w:val="20"/>
          <w:szCs w:val="20"/>
          <w:lang w:val="en-GB"/>
        </w:rPr>
        <w:t xml:space="preserve"> 60</w:t>
      </w:r>
      <w:r w:rsidR="00BE0EF5">
        <w:rPr>
          <w:rFonts w:ascii="Arial" w:hAnsi="Arial" w:cs="Arial"/>
          <w:sz w:val="20"/>
          <w:szCs w:val="20"/>
          <w:lang w:val="en-GB"/>
        </w:rPr>
        <w:t>-</w:t>
      </w:r>
      <w:r w:rsidRPr="0033311B">
        <w:rPr>
          <w:rFonts w:ascii="Arial" w:hAnsi="Arial" w:cs="Arial"/>
          <w:sz w:val="20"/>
          <w:szCs w:val="20"/>
          <w:lang w:val="en-GB"/>
        </w:rPr>
        <w:t>80</w:t>
      </w:r>
      <w:r w:rsidR="00EE2577">
        <w:rPr>
          <w:rFonts w:ascii="Arial" w:hAnsi="Arial" w:cs="Arial"/>
          <w:sz w:val="20"/>
          <w:szCs w:val="20"/>
          <w:lang w:val="en-GB"/>
        </w:rPr>
        <w:t>µ</w:t>
      </w:r>
      <w:r w:rsidRPr="0033311B">
        <w:rPr>
          <w:rFonts w:ascii="Arial" w:hAnsi="Arial" w:cs="Arial"/>
          <w:sz w:val="20"/>
          <w:szCs w:val="20"/>
          <w:lang w:val="en-GB"/>
        </w:rPr>
        <w:t xml:space="preserve">s), a reflected strain wave propagated back toward the plate </w:t>
      </w:r>
      <w:r w:rsidR="00BE0EF5" w:rsidRPr="0033311B">
        <w:rPr>
          <w:rFonts w:ascii="Arial" w:hAnsi="Arial" w:cs="Arial"/>
          <w:sz w:val="20"/>
          <w:szCs w:val="20"/>
          <w:lang w:val="en-GB"/>
        </w:rPr>
        <w:t>centre</w:t>
      </w:r>
      <w:r w:rsidRPr="0033311B">
        <w:rPr>
          <w:rFonts w:ascii="Arial" w:hAnsi="Arial" w:cs="Arial"/>
          <w:sz w:val="20"/>
          <w:szCs w:val="20"/>
          <w:lang w:val="en-GB"/>
        </w:rPr>
        <w:t xml:space="preserve">.  </w:t>
      </w:r>
    </w:p>
    <w:p w14:paraId="3D291E5F" w14:textId="444ABE02" w:rsidR="007443B3" w:rsidRDefault="0033311B" w:rsidP="00BE0EF5">
      <w:pPr>
        <w:pStyle w:val="TTPParagraphothers"/>
        <w:ind w:firstLine="0"/>
        <w:rPr>
          <w:rFonts w:ascii="Arial" w:hAnsi="Arial" w:cs="Arial"/>
          <w:sz w:val="20"/>
          <w:szCs w:val="20"/>
          <w:lang w:val="en-GB"/>
        </w:rPr>
      </w:pPr>
      <w:r w:rsidRPr="0033311B">
        <w:rPr>
          <w:rFonts w:ascii="Arial" w:hAnsi="Arial" w:cs="Arial"/>
          <w:sz w:val="20"/>
          <w:szCs w:val="20"/>
          <w:lang w:val="en-GB"/>
        </w:rPr>
        <w:t xml:space="preserve">To avoid artificial momentum addition when inferring impulse via DIC, velocity data must be temporally cropped prior to the arrival of boundary reflection waves. Increasing the physical plate span extends this valid measurement window.  </w:t>
      </w:r>
    </w:p>
    <w:p w14:paraId="6047608C" w14:textId="77777777" w:rsidR="007443B3" w:rsidRDefault="007443B3" w:rsidP="0033311B">
      <w:pPr>
        <w:pStyle w:val="TTPParagraphothers"/>
        <w:rPr>
          <w:rFonts w:ascii="Arial" w:hAnsi="Arial" w:cs="Arial"/>
          <w:sz w:val="20"/>
          <w:szCs w:val="20"/>
          <w:lang w:val="en-GB"/>
        </w:rPr>
      </w:pPr>
    </w:p>
    <w:p w14:paraId="65A60AC4" w14:textId="34699050" w:rsidR="007443B3" w:rsidRPr="00C303C9" w:rsidRDefault="0033311B" w:rsidP="00C303C9">
      <w:pPr>
        <w:pStyle w:val="TTPParagraphothers"/>
        <w:ind w:firstLine="0"/>
        <w:rPr>
          <w:rFonts w:ascii="Arial" w:hAnsi="Arial" w:cs="Arial"/>
          <w:b/>
          <w:bCs/>
          <w:sz w:val="20"/>
          <w:szCs w:val="20"/>
          <w:lang w:val="en-GB"/>
        </w:rPr>
      </w:pPr>
      <w:r w:rsidRPr="00C303C9">
        <w:rPr>
          <w:rFonts w:ascii="Arial" w:hAnsi="Arial" w:cs="Arial"/>
          <w:b/>
          <w:bCs/>
          <w:sz w:val="20"/>
          <w:szCs w:val="20"/>
          <w:lang w:val="en-GB"/>
        </w:rPr>
        <w:t>Conclusions</w:t>
      </w:r>
    </w:p>
    <w:p w14:paraId="2372919F" w14:textId="175597E3" w:rsidR="0033311B" w:rsidRPr="0033311B" w:rsidRDefault="0033311B" w:rsidP="00C303C9">
      <w:pPr>
        <w:pStyle w:val="TTPParagraphothers"/>
        <w:ind w:firstLine="0"/>
        <w:rPr>
          <w:rFonts w:ascii="Arial" w:hAnsi="Arial" w:cs="Arial"/>
          <w:sz w:val="20"/>
          <w:szCs w:val="20"/>
          <w:lang w:val="en-GB"/>
        </w:rPr>
      </w:pPr>
      <w:r w:rsidRPr="0033311B">
        <w:rPr>
          <w:rFonts w:ascii="Arial" w:hAnsi="Arial" w:cs="Arial"/>
          <w:sz w:val="20"/>
          <w:szCs w:val="20"/>
          <w:lang w:val="en-GB"/>
        </w:rPr>
        <w:t>Ultra-high-speed 3D DIC provides a validated, non-contact technique for measuring full-field transient kinematics and spatial impulse distributions in extreme near-field blast environments.  Experimental uncertainties as low as 0.01 mm are achievable with appropriate speckle patterning, short exposure times (</w:t>
      </w:r>
      <w:r w:rsidR="00EE2577">
        <w:rPr>
          <w:rFonts w:ascii="Arial" w:hAnsi="Arial" w:cs="Arial"/>
          <w:sz w:val="20"/>
          <w:szCs w:val="20"/>
          <w:lang w:val="en-GB"/>
        </w:rPr>
        <w:t>~</w:t>
      </w:r>
      <w:r w:rsidRPr="0033311B">
        <w:rPr>
          <w:rFonts w:ascii="Arial" w:hAnsi="Arial" w:cs="Arial"/>
          <w:sz w:val="20"/>
          <w:szCs w:val="20"/>
          <w:lang w:val="en-GB"/>
        </w:rPr>
        <w:t>20</w:t>
      </w:r>
      <w:r w:rsidR="00EE2577">
        <w:rPr>
          <w:rFonts w:ascii="Arial" w:hAnsi="Arial" w:cs="Arial"/>
          <w:sz w:val="20"/>
          <w:szCs w:val="20"/>
          <w:lang w:val="en-GB"/>
        </w:rPr>
        <w:t xml:space="preserve"> µ</w:t>
      </w:r>
      <w:r w:rsidRPr="0033311B">
        <w:rPr>
          <w:rFonts w:ascii="Arial" w:hAnsi="Arial" w:cs="Arial"/>
          <w:sz w:val="20"/>
          <w:szCs w:val="20"/>
          <w:lang w:val="en-GB"/>
        </w:rPr>
        <w:t xml:space="preserve">s), and high-intensity illumination.  Specific impulses inferred from plate kinematics correlate within 5% of direct Hopkinson pressure bar measurements. Structural boundary reflections and plate thickness effects dominate measurement limits far more than camera sensor noise.  </w:t>
      </w:r>
    </w:p>
    <w:p w14:paraId="5A2DDCCC" w14:textId="77777777" w:rsidR="0033311B" w:rsidRPr="0033311B" w:rsidRDefault="0033311B" w:rsidP="0033311B">
      <w:pPr>
        <w:pStyle w:val="TTPParagraphothers"/>
        <w:rPr>
          <w:lang w:val="en-GB"/>
        </w:rPr>
      </w:pPr>
    </w:p>
    <w:p w14:paraId="7E461CCD" w14:textId="77777777" w:rsidR="00F30817" w:rsidRPr="00404449" w:rsidRDefault="00F30817" w:rsidP="00F17770">
      <w:pPr>
        <w:pStyle w:val="TTPSectionHeading"/>
        <w:spacing w:before="120"/>
        <w:rPr>
          <w:rFonts w:ascii="Arial" w:hAnsi="Arial" w:cs="Arial"/>
          <w:sz w:val="20"/>
          <w:szCs w:val="20"/>
          <w:lang w:val="en-GB"/>
        </w:rPr>
      </w:pPr>
      <w:r w:rsidRPr="00404449">
        <w:rPr>
          <w:rFonts w:ascii="Arial" w:hAnsi="Arial" w:cs="Arial"/>
          <w:sz w:val="20"/>
          <w:szCs w:val="20"/>
          <w:lang w:val="en-GB"/>
        </w:rPr>
        <w:t>References</w:t>
      </w:r>
    </w:p>
    <w:p w14:paraId="62CBE07A" w14:textId="35D1755C" w:rsidR="00F30817" w:rsidRPr="00F17770" w:rsidRDefault="00136F14" w:rsidP="00C27A15">
      <w:pPr>
        <w:pStyle w:val="TTPReference"/>
        <w:spacing w:after="0" w:line="240" w:lineRule="auto"/>
        <w:ind w:left="426" w:hanging="426"/>
        <w:rPr>
          <w:rFonts w:ascii="Arial" w:hAnsi="Arial" w:cs="Arial"/>
          <w:sz w:val="16"/>
          <w:szCs w:val="16"/>
          <w:lang w:val="en-GB"/>
        </w:rPr>
      </w:pPr>
      <w:r w:rsidRPr="00F17770">
        <w:rPr>
          <w:rFonts w:ascii="Arial" w:hAnsi="Arial" w:cs="Arial"/>
          <w:sz w:val="16"/>
          <w:szCs w:val="16"/>
          <w:lang w:val="en-GB"/>
        </w:rPr>
        <w:t>[1]</w:t>
      </w:r>
      <w:r w:rsidRPr="00F17770">
        <w:rPr>
          <w:rFonts w:ascii="Arial" w:hAnsi="Arial" w:cs="Arial"/>
          <w:sz w:val="16"/>
          <w:szCs w:val="16"/>
          <w:lang w:val="en-GB"/>
        </w:rPr>
        <w:tab/>
      </w:r>
      <w:r w:rsidR="00C27A15" w:rsidRPr="00C27A15">
        <w:rPr>
          <w:rFonts w:ascii="Arial" w:hAnsi="Arial" w:cs="Arial"/>
          <w:sz w:val="16"/>
          <w:szCs w:val="16"/>
          <w:lang w:val="en-GB"/>
        </w:rPr>
        <w:t>R. J. Curry, G. S. Langdon, and A. Tyas, “ Steel Plates Subjected to Localised Blast Loading: Transient Measurements Using Ultra-High-Speed Camera Technology,” Strain 61, no. 6 (2025): e70019, https://doi.org/10.1111/str.70019.</w:t>
      </w:r>
    </w:p>
    <w:p w14:paraId="5360A97B" w14:textId="333FA46D" w:rsidR="00C27A15" w:rsidRDefault="00F30817" w:rsidP="00C27A15">
      <w:pPr>
        <w:pStyle w:val="TTPReference"/>
        <w:spacing w:after="0" w:line="240" w:lineRule="auto"/>
        <w:ind w:left="426" w:hanging="426"/>
        <w:rPr>
          <w:rFonts w:ascii="Arial" w:hAnsi="Arial" w:cs="Arial"/>
          <w:sz w:val="16"/>
          <w:szCs w:val="16"/>
          <w:lang w:val="en-GB"/>
        </w:rPr>
      </w:pPr>
      <w:r w:rsidRPr="00F17770">
        <w:rPr>
          <w:rFonts w:ascii="Arial" w:hAnsi="Arial" w:cs="Arial"/>
          <w:sz w:val="16"/>
          <w:szCs w:val="16"/>
          <w:lang w:val="en-GB"/>
        </w:rPr>
        <w:t>[2]</w:t>
      </w:r>
      <w:r w:rsidRPr="00F17770">
        <w:rPr>
          <w:rFonts w:ascii="Arial" w:hAnsi="Arial" w:cs="Arial"/>
          <w:sz w:val="16"/>
          <w:szCs w:val="16"/>
          <w:lang w:val="en-GB"/>
        </w:rPr>
        <w:tab/>
      </w:r>
      <w:r w:rsidR="00C27A15" w:rsidRPr="00C27A15">
        <w:rPr>
          <w:rFonts w:ascii="Arial" w:hAnsi="Arial" w:cs="Arial"/>
          <w:sz w:val="16"/>
          <w:szCs w:val="16"/>
          <w:lang w:val="en-GB"/>
        </w:rPr>
        <w:t xml:space="preserve">Aune V, Fagerholt E, Hauge KO, Langseth M, Børvik M, (2016) Experimental study on the response of thin aluminium and steel plates subjected to airblast loading, Int J Impact Engineering, 90: 106–121. </w:t>
      </w:r>
      <w:hyperlink r:id="rId9" w:history="1">
        <w:r w:rsidR="00C27A15" w:rsidRPr="004D71A1">
          <w:rPr>
            <w:rStyle w:val="Hyperlink"/>
            <w:rFonts w:ascii="Arial" w:hAnsi="Arial" w:cs="Arial"/>
            <w:sz w:val="16"/>
            <w:szCs w:val="16"/>
            <w:lang w:val="en-GB"/>
          </w:rPr>
          <w:t>https://doi.org/10.1016/j.ijimpeng.2015.11.017</w:t>
        </w:r>
      </w:hyperlink>
      <w:r w:rsidR="00C27A15" w:rsidRPr="00C27A15">
        <w:rPr>
          <w:rFonts w:ascii="Arial" w:hAnsi="Arial" w:cs="Arial"/>
          <w:sz w:val="16"/>
          <w:szCs w:val="16"/>
          <w:lang w:val="en-GB"/>
        </w:rPr>
        <w:t xml:space="preserve"> </w:t>
      </w:r>
    </w:p>
    <w:p w14:paraId="011502E3" w14:textId="225A5E84" w:rsidR="00C27A15" w:rsidRDefault="00F01AD5" w:rsidP="00C27A15">
      <w:pPr>
        <w:pStyle w:val="TTPReference"/>
        <w:spacing w:after="0" w:line="240" w:lineRule="auto"/>
        <w:ind w:left="426" w:hanging="426"/>
        <w:rPr>
          <w:rFonts w:ascii="Arial" w:hAnsi="Arial" w:cs="Arial"/>
          <w:sz w:val="16"/>
          <w:szCs w:val="16"/>
          <w:lang w:val="en-GB"/>
        </w:rPr>
      </w:pPr>
      <w:r w:rsidRPr="00F17770">
        <w:rPr>
          <w:rFonts w:ascii="Arial" w:hAnsi="Arial" w:cs="Arial"/>
          <w:sz w:val="16"/>
          <w:szCs w:val="16"/>
          <w:lang w:val="en-GB"/>
        </w:rPr>
        <w:t>[3]</w:t>
      </w:r>
      <w:r w:rsidRPr="00F17770">
        <w:rPr>
          <w:rFonts w:ascii="Arial" w:hAnsi="Arial" w:cs="Arial"/>
          <w:sz w:val="16"/>
          <w:szCs w:val="16"/>
          <w:lang w:val="en-GB"/>
        </w:rPr>
        <w:tab/>
      </w:r>
      <w:r w:rsidR="00C27A15" w:rsidRPr="00C27A15">
        <w:rPr>
          <w:rFonts w:ascii="Arial" w:hAnsi="Arial" w:cs="Arial"/>
          <w:sz w:val="16"/>
          <w:szCs w:val="16"/>
          <w:lang w:val="en-GB"/>
        </w:rPr>
        <w:t xml:space="preserve">Clarke SD, Fay SD, Warren JA, Tyas A, Rigby SE, Elgy I (2014) A large scale experimental approach to the measurement of spatially and temporally localised loading from the detonation of shallow-buried explosives, Measurement Sci Tech, 26(1):015001, </w:t>
      </w:r>
      <w:hyperlink r:id="rId10" w:history="1">
        <w:r w:rsidR="00C27A15" w:rsidRPr="004D71A1">
          <w:rPr>
            <w:rStyle w:val="Hyperlink"/>
            <w:rFonts w:ascii="Arial" w:hAnsi="Arial" w:cs="Arial"/>
            <w:sz w:val="16"/>
            <w:szCs w:val="16"/>
            <w:lang w:val="en-GB"/>
          </w:rPr>
          <w:t>https://doi.org/10.1088/0957-0233/26/1/015001</w:t>
        </w:r>
      </w:hyperlink>
    </w:p>
    <w:p w14:paraId="1CECEEF6" w14:textId="6DD4697A" w:rsidR="00C27A15" w:rsidRPr="00F17770" w:rsidRDefault="00C27A15" w:rsidP="00C27A15">
      <w:pPr>
        <w:pStyle w:val="TTPReference"/>
        <w:spacing w:after="0" w:line="240" w:lineRule="auto"/>
        <w:ind w:left="426" w:hanging="426"/>
        <w:rPr>
          <w:rFonts w:ascii="Arial" w:hAnsi="Arial" w:cs="Arial"/>
          <w:sz w:val="16"/>
          <w:szCs w:val="16"/>
          <w:lang w:val="en-GB"/>
        </w:rPr>
      </w:pPr>
      <w:r>
        <w:rPr>
          <w:rFonts w:ascii="Arial" w:hAnsi="Arial" w:cs="Arial"/>
          <w:sz w:val="16"/>
          <w:szCs w:val="16"/>
          <w:lang w:val="en-GB"/>
        </w:rPr>
        <w:t>[4]</w:t>
      </w:r>
      <w:r>
        <w:rPr>
          <w:rFonts w:ascii="Arial" w:hAnsi="Arial" w:cs="Arial"/>
          <w:sz w:val="16"/>
          <w:szCs w:val="16"/>
          <w:lang w:val="en-GB"/>
        </w:rPr>
        <w:tab/>
      </w:r>
      <w:r w:rsidRPr="00C27A15">
        <w:rPr>
          <w:rFonts w:ascii="Arial" w:hAnsi="Arial" w:cs="Arial"/>
          <w:sz w:val="16"/>
          <w:szCs w:val="16"/>
          <w:lang w:val="en-GB"/>
        </w:rPr>
        <w:t xml:space="preserve">Curry RJ, Langdon GS (2017) Transient response of steel plates subjected to close proximity explosive detonations in air, Int J Impact Engng, 102:102-116. </w:t>
      </w:r>
      <w:hyperlink r:id="rId11" w:history="1">
        <w:r w:rsidRPr="004D71A1">
          <w:rPr>
            <w:rStyle w:val="Hyperlink"/>
            <w:rFonts w:ascii="Arial" w:hAnsi="Arial" w:cs="Arial"/>
            <w:sz w:val="16"/>
            <w:szCs w:val="16"/>
            <w:lang w:val="en-GB"/>
          </w:rPr>
          <w:t>https://doi.org/10.1016/j.ijimpeng.2016.12.004</w:t>
        </w:r>
      </w:hyperlink>
      <w:r>
        <w:rPr>
          <w:rFonts w:ascii="Arial" w:hAnsi="Arial" w:cs="Arial"/>
          <w:sz w:val="16"/>
          <w:szCs w:val="16"/>
          <w:lang w:val="en-GB"/>
        </w:rPr>
        <w:t xml:space="preserve"> </w:t>
      </w:r>
    </w:p>
    <w:p w14:paraId="5AFBB983" w14:textId="77777777" w:rsidR="0067738F" w:rsidRDefault="0067738F" w:rsidP="0067738F">
      <w:pPr>
        <w:pStyle w:val="TTPReference"/>
        <w:spacing w:after="0" w:line="240" w:lineRule="auto"/>
        <w:ind w:left="420" w:hanging="420"/>
        <w:rPr>
          <w:rFonts w:ascii="Arial" w:hAnsi="Arial" w:cs="Arial"/>
          <w:sz w:val="16"/>
          <w:szCs w:val="16"/>
          <w:lang w:val="en-GB"/>
        </w:rPr>
      </w:pPr>
    </w:p>
    <w:p w14:paraId="35477784" w14:textId="451927E5" w:rsidR="00C27A15" w:rsidRDefault="00C27A15" w:rsidP="0067738F">
      <w:pPr>
        <w:pStyle w:val="TTPReference"/>
        <w:spacing w:after="0" w:line="240" w:lineRule="auto"/>
        <w:ind w:left="420" w:hanging="420"/>
        <w:rPr>
          <w:rFonts w:ascii="Arial" w:hAnsi="Arial" w:cs="Arial"/>
          <w:sz w:val="16"/>
          <w:szCs w:val="16"/>
          <w:lang w:val="en-GB"/>
        </w:rPr>
      </w:pPr>
      <w:r>
        <w:rPr>
          <w:rFonts w:ascii="Arial" w:hAnsi="Arial" w:cs="Arial"/>
          <w:sz w:val="16"/>
          <w:szCs w:val="16"/>
          <w:lang w:val="en-GB"/>
        </w:rPr>
        <w:t>[5]</w:t>
      </w:r>
      <w:r>
        <w:rPr>
          <w:rFonts w:ascii="Arial" w:hAnsi="Arial" w:cs="Arial"/>
          <w:sz w:val="16"/>
          <w:szCs w:val="16"/>
          <w:lang w:val="en-GB"/>
        </w:rPr>
        <w:tab/>
      </w:r>
      <w:r w:rsidRPr="00C27A15">
        <w:rPr>
          <w:rFonts w:ascii="Arial" w:hAnsi="Arial" w:cs="Arial"/>
          <w:sz w:val="16"/>
          <w:szCs w:val="16"/>
          <w:lang w:val="en-GB"/>
        </w:rPr>
        <w:t xml:space="preserve">Balcaen R, Reu P, Lava P, Debruyne D. (2017) Stereo-DIC Uncertainty Quantification based on Simulated Images. Exp Mech 57:939–951. </w:t>
      </w:r>
      <w:hyperlink r:id="rId12" w:history="1">
        <w:r w:rsidRPr="004D71A1">
          <w:rPr>
            <w:rStyle w:val="Hyperlink"/>
            <w:rFonts w:ascii="Arial" w:hAnsi="Arial" w:cs="Arial"/>
            <w:sz w:val="16"/>
            <w:szCs w:val="16"/>
            <w:lang w:val="en-GB"/>
          </w:rPr>
          <w:t>https://doi.org/10.1007/s11340-017-0288-9</w:t>
        </w:r>
      </w:hyperlink>
    </w:p>
    <w:p w14:paraId="2BBB219B" w14:textId="30DE3FB8" w:rsidR="00C27A15" w:rsidRDefault="00C27A15" w:rsidP="0067738F">
      <w:pPr>
        <w:pStyle w:val="TTPReference"/>
        <w:spacing w:after="0" w:line="240" w:lineRule="auto"/>
        <w:ind w:left="420" w:hanging="420"/>
        <w:rPr>
          <w:rFonts w:ascii="Arial" w:hAnsi="Arial" w:cs="Arial"/>
          <w:sz w:val="16"/>
          <w:szCs w:val="16"/>
          <w:lang w:val="en-GB"/>
        </w:rPr>
      </w:pPr>
      <w:r>
        <w:rPr>
          <w:rFonts w:ascii="Arial" w:hAnsi="Arial" w:cs="Arial"/>
          <w:sz w:val="16"/>
          <w:szCs w:val="16"/>
          <w:lang w:val="en-GB"/>
        </w:rPr>
        <w:t>[6]</w:t>
      </w:r>
      <w:r>
        <w:rPr>
          <w:rFonts w:ascii="Arial" w:hAnsi="Arial" w:cs="Arial"/>
          <w:sz w:val="16"/>
          <w:szCs w:val="16"/>
          <w:lang w:val="en-GB"/>
        </w:rPr>
        <w:tab/>
      </w:r>
      <w:r w:rsidRPr="00C27A15">
        <w:rPr>
          <w:rFonts w:ascii="Arial" w:hAnsi="Arial" w:cs="Arial"/>
          <w:sz w:val="16"/>
          <w:szCs w:val="16"/>
          <w:lang w:val="en-GB"/>
        </w:rPr>
        <w:t xml:space="preserve">International Digital Image Correlation (iDIC) Society, Jones EMC, Iadicola MA (Eds.) (2018). A Good Practices Guide for Digital Image Correlation. </w:t>
      </w:r>
      <w:hyperlink r:id="rId13" w:history="1">
        <w:r w:rsidRPr="004D71A1">
          <w:rPr>
            <w:rStyle w:val="Hyperlink"/>
            <w:rFonts w:ascii="Arial" w:hAnsi="Arial" w:cs="Arial"/>
            <w:sz w:val="16"/>
            <w:szCs w:val="16"/>
            <w:lang w:val="en-GB"/>
          </w:rPr>
          <w:t>https://doi.org/10.32720/idics/gpg.ed1/print.format</w:t>
        </w:r>
      </w:hyperlink>
      <w:r>
        <w:rPr>
          <w:rFonts w:ascii="Arial" w:hAnsi="Arial" w:cs="Arial"/>
          <w:sz w:val="16"/>
          <w:szCs w:val="16"/>
          <w:lang w:val="en-GB"/>
        </w:rPr>
        <w:t xml:space="preserve"> </w:t>
      </w:r>
    </w:p>
    <w:p w14:paraId="56871D01" w14:textId="5DD70463" w:rsidR="00EE2577" w:rsidRDefault="00EE2577" w:rsidP="0067738F">
      <w:pPr>
        <w:pStyle w:val="TTPReference"/>
        <w:spacing w:after="0" w:line="240" w:lineRule="auto"/>
        <w:ind w:left="420" w:hanging="420"/>
        <w:rPr>
          <w:rFonts w:ascii="Arial" w:hAnsi="Arial" w:cs="Arial"/>
          <w:sz w:val="16"/>
          <w:szCs w:val="16"/>
          <w:lang w:val="en-GB"/>
        </w:rPr>
      </w:pPr>
      <w:r>
        <w:rPr>
          <w:rFonts w:ascii="Arial" w:hAnsi="Arial" w:cs="Arial"/>
          <w:sz w:val="16"/>
          <w:szCs w:val="16"/>
          <w:lang w:val="en-GB"/>
        </w:rPr>
        <w:t>[7]</w:t>
      </w:r>
      <w:r>
        <w:rPr>
          <w:rFonts w:ascii="Arial" w:hAnsi="Arial" w:cs="Arial"/>
          <w:sz w:val="16"/>
          <w:szCs w:val="16"/>
          <w:lang w:val="en-GB"/>
        </w:rPr>
        <w:tab/>
      </w:r>
      <w:r w:rsidRPr="00EE2577">
        <w:rPr>
          <w:rFonts w:ascii="Arial" w:hAnsi="Arial" w:cs="Arial"/>
          <w:sz w:val="16"/>
          <w:szCs w:val="16"/>
          <w:lang w:val="en-GB"/>
        </w:rPr>
        <w:t xml:space="preserve">Rigby SE, Tyas A, Curry RJ, Langdon GS (2019a) Experimental Measurement of Specific Impulse Distribution and Transient Deformation of Plates Subjected to Near-Field Explosive Blasts, Expt Mech, 59(2):163-178. </w:t>
      </w:r>
      <w:hyperlink r:id="rId14" w:history="1">
        <w:r w:rsidRPr="004D71A1">
          <w:rPr>
            <w:rStyle w:val="Hyperlink"/>
            <w:rFonts w:ascii="Arial" w:hAnsi="Arial" w:cs="Arial"/>
            <w:sz w:val="16"/>
            <w:szCs w:val="16"/>
            <w:lang w:val="en-GB"/>
          </w:rPr>
          <w:t>https://doi.org/10.1007/s11340-018-00438-3</w:t>
        </w:r>
      </w:hyperlink>
      <w:r>
        <w:rPr>
          <w:rFonts w:ascii="Arial" w:hAnsi="Arial" w:cs="Arial"/>
          <w:sz w:val="16"/>
          <w:szCs w:val="16"/>
          <w:lang w:val="en-GB"/>
        </w:rPr>
        <w:t xml:space="preserve"> </w:t>
      </w:r>
    </w:p>
    <w:p w14:paraId="039FB770" w14:textId="77777777" w:rsidR="00C27A15" w:rsidRDefault="00C27A15" w:rsidP="0067738F">
      <w:pPr>
        <w:pStyle w:val="TTPReference"/>
        <w:spacing w:after="0" w:line="240" w:lineRule="auto"/>
        <w:ind w:left="420" w:hanging="420"/>
        <w:rPr>
          <w:rFonts w:ascii="Arial" w:hAnsi="Arial" w:cs="Arial"/>
          <w:sz w:val="16"/>
          <w:szCs w:val="16"/>
          <w:lang w:val="en-GB"/>
        </w:rPr>
      </w:pPr>
    </w:p>
    <w:sectPr w:rsidR="00C27A15" w:rsidSect="002510F4">
      <w:headerReference w:type="even" r:id="rId15"/>
      <w:headerReference w:type="default" r:id="rId16"/>
      <w:pgSz w:w="11907" w:h="16840" w:code="9"/>
      <w:pgMar w:top="1418" w:right="1134" w:bottom="851" w:left="1134" w:header="709" w:footer="284" w:gutter="0"/>
      <w:cols w:space="709"/>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2CC8A1" w14:textId="77777777" w:rsidR="00391573" w:rsidRDefault="00391573">
      <w:r>
        <w:separator/>
      </w:r>
    </w:p>
  </w:endnote>
  <w:endnote w:type="continuationSeparator" w:id="0">
    <w:p w14:paraId="0EDD9716" w14:textId="77777777" w:rsidR="00391573" w:rsidRDefault="003915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Book Antiqua"/>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altName w:val="Tahom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5C3109" w14:textId="77777777" w:rsidR="00391573" w:rsidRDefault="00391573">
      <w:r>
        <w:separator/>
      </w:r>
    </w:p>
  </w:footnote>
  <w:footnote w:type="continuationSeparator" w:id="0">
    <w:p w14:paraId="349DCEE9" w14:textId="77777777" w:rsidR="00391573" w:rsidRDefault="003915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FBF0A" w14:textId="77777777" w:rsidR="00F30817" w:rsidRDefault="00F30817">
    <w:pPr>
      <w:pStyle w:val="Header"/>
      <w:spacing w:after="240"/>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72088" w14:textId="77777777" w:rsidR="00F30817" w:rsidRDefault="00F30817">
    <w:pPr>
      <w:pStyle w:val="Header"/>
      <w:spacing w:after="24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1E4C9E"/>
    <w:multiLevelType w:val="hybridMultilevel"/>
    <w:tmpl w:val="FFFFFFFF"/>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5451113"/>
    <w:multiLevelType w:val="hybridMultilevel"/>
    <w:tmpl w:val="72C8BF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B95401"/>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3" w15:restartNumberingAfterBreak="0">
    <w:nsid w:val="6C537FBC"/>
    <w:multiLevelType w:val="hybridMultilevel"/>
    <w:tmpl w:val="FFFFFFFF"/>
    <w:lvl w:ilvl="0" w:tplc="6144C124">
      <w:numFmt w:val="bullet"/>
      <w:lvlText w:val=""/>
      <w:lvlJc w:val="left"/>
      <w:pPr>
        <w:tabs>
          <w:tab w:val="num" w:pos="1080"/>
        </w:tabs>
        <w:ind w:left="1080" w:hanging="720"/>
      </w:pPr>
      <w:rPr>
        <w:rFonts w:ascii="Wingdings" w:eastAsia="Times New Roman" w:hAnsi="Wingdings" w:hint="default"/>
        <w:b/>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F5C4269"/>
    <w:multiLevelType w:val="hybridMultilevel"/>
    <w:tmpl w:val="FFFFFFFF"/>
    <w:lvl w:ilvl="0" w:tplc="0809000F">
      <w:start w:val="1"/>
      <w:numFmt w:val="decimal"/>
      <w:lvlText w:val="%1."/>
      <w:lvlJc w:val="left"/>
      <w:pPr>
        <w:ind w:left="720" w:hanging="36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16cid:durableId="2097359932">
    <w:abstractNumId w:val="3"/>
  </w:num>
  <w:num w:numId="2" w16cid:durableId="815950399">
    <w:abstractNumId w:val="2"/>
  </w:num>
  <w:num w:numId="3" w16cid:durableId="885676787">
    <w:abstractNumId w:val="4"/>
  </w:num>
  <w:num w:numId="4" w16cid:durableId="1636369493">
    <w:abstractNumId w:val="0"/>
  </w:num>
  <w:num w:numId="5" w16cid:durableId="2001740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printColBlack/>
    <w:showBreaksInFrames/>
    <w:suppressSpBfAfterPgBrk/>
    <w:swapBordersFacingPages/>
    <w:convMailMergeEsc/>
    <w:usePrinterMetrics/>
    <w:footnoteLayoutLikeWW8/>
    <w:shapeLayoutLikeWW8/>
    <w:alignTablesRowByRow/>
    <w:forgetLastTabAlignment/>
    <w:noSpaceRaiseLower/>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0817"/>
    <w:rsid w:val="0008025D"/>
    <w:rsid w:val="000A6385"/>
    <w:rsid w:val="000E6A93"/>
    <w:rsid w:val="00136F14"/>
    <w:rsid w:val="001708C7"/>
    <w:rsid w:val="00175EDD"/>
    <w:rsid w:val="00192CBA"/>
    <w:rsid w:val="001B0DDB"/>
    <w:rsid w:val="001C5B52"/>
    <w:rsid w:val="001D308F"/>
    <w:rsid w:val="001D7F0D"/>
    <w:rsid w:val="00205C83"/>
    <w:rsid w:val="0023633D"/>
    <w:rsid w:val="002510F4"/>
    <w:rsid w:val="00251A99"/>
    <w:rsid w:val="00295485"/>
    <w:rsid w:val="002A5A6D"/>
    <w:rsid w:val="002C1997"/>
    <w:rsid w:val="002E1E1B"/>
    <w:rsid w:val="00310961"/>
    <w:rsid w:val="003251E0"/>
    <w:rsid w:val="0033311B"/>
    <w:rsid w:val="00335F9D"/>
    <w:rsid w:val="003473B4"/>
    <w:rsid w:val="00367D3A"/>
    <w:rsid w:val="00391573"/>
    <w:rsid w:val="003B5850"/>
    <w:rsid w:val="003B777B"/>
    <w:rsid w:val="003D1BE1"/>
    <w:rsid w:val="003F438A"/>
    <w:rsid w:val="00404449"/>
    <w:rsid w:val="00460B21"/>
    <w:rsid w:val="00465478"/>
    <w:rsid w:val="00473A8E"/>
    <w:rsid w:val="004A492F"/>
    <w:rsid w:val="004C48B6"/>
    <w:rsid w:val="0059548F"/>
    <w:rsid w:val="005F7092"/>
    <w:rsid w:val="00655B3A"/>
    <w:rsid w:val="00660A63"/>
    <w:rsid w:val="006722EE"/>
    <w:rsid w:val="0067738F"/>
    <w:rsid w:val="00690981"/>
    <w:rsid w:val="006A6674"/>
    <w:rsid w:val="006B347C"/>
    <w:rsid w:val="007032C4"/>
    <w:rsid w:val="007077CF"/>
    <w:rsid w:val="00735F76"/>
    <w:rsid w:val="007443B3"/>
    <w:rsid w:val="0077338D"/>
    <w:rsid w:val="00774597"/>
    <w:rsid w:val="007F0D52"/>
    <w:rsid w:val="00840F15"/>
    <w:rsid w:val="008E0A35"/>
    <w:rsid w:val="008F5FA6"/>
    <w:rsid w:val="00961774"/>
    <w:rsid w:val="00975783"/>
    <w:rsid w:val="009F4C80"/>
    <w:rsid w:val="00A031F5"/>
    <w:rsid w:val="00A434E3"/>
    <w:rsid w:val="00A45106"/>
    <w:rsid w:val="00A557A5"/>
    <w:rsid w:val="00A66599"/>
    <w:rsid w:val="00A76C04"/>
    <w:rsid w:val="00A8282E"/>
    <w:rsid w:val="00A95A40"/>
    <w:rsid w:val="00AD3A4F"/>
    <w:rsid w:val="00B11627"/>
    <w:rsid w:val="00B6782A"/>
    <w:rsid w:val="00B952AD"/>
    <w:rsid w:val="00BB5EF6"/>
    <w:rsid w:val="00BC5761"/>
    <w:rsid w:val="00BE0EF5"/>
    <w:rsid w:val="00C27A15"/>
    <w:rsid w:val="00C303C9"/>
    <w:rsid w:val="00C74C97"/>
    <w:rsid w:val="00C83653"/>
    <w:rsid w:val="00CB3DFF"/>
    <w:rsid w:val="00CC0CCE"/>
    <w:rsid w:val="00CF1396"/>
    <w:rsid w:val="00D20412"/>
    <w:rsid w:val="00D21AFA"/>
    <w:rsid w:val="00D22891"/>
    <w:rsid w:val="00D27BD6"/>
    <w:rsid w:val="00D61911"/>
    <w:rsid w:val="00D661DE"/>
    <w:rsid w:val="00D862F2"/>
    <w:rsid w:val="00DA4CD2"/>
    <w:rsid w:val="00DA67AF"/>
    <w:rsid w:val="00DB79E8"/>
    <w:rsid w:val="00DD4E1D"/>
    <w:rsid w:val="00DD5DD4"/>
    <w:rsid w:val="00DE4C49"/>
    <w:rsid w:val="00EB154E"/>
    <w:rsid w:val="00EE2577"/>
    <w:rsid w:val="00EE6D70"/>
    <w:rsid w:val="00F01AD5"/>
    <w:rsid w:val="00F17770"/>
    <w:rsid w:val="00F30817"/>
    <w:rsid w:val="00F7702D"/>
    <w:rsid w:val="00F97079"/>
    <w:rsid w:val="00FA14D3"/>
    <w:rsid w:val="00FB091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14:docId w14:val="3172DC18"/>
  <w14:defaultImageDpi w14:val="0"/>
  <w15:docId w15:val="{54D47C13-2E2C-45D1-BF0C-0055788731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pPr>
    <w:rPr>
      <w:lang w:val="de-DE" w:eastAsia="en-US"/>
    </w:rPr>
  </w:style>
  <w:style w:type="paragraph" w:styleId="Heading1">
    <w:name w:val="heading 1"/>
    <w:basedOn w:val="Normal"/>
    <w:next w:val="Normal"/>
    <w:link w:val="Heading1Char"/>
    <w:uiPriority w:val="99"/>
    <w:qFormat/>
    <w:pPr>
      <w:keepNext/>
      <w:autoSpaceDE/>
      <w:autoSpaceDN/>
      <w:outlineLvl w:val="0"/>
    </w:pPr>
    <w:rPr>
      <w:b/>
      <w:bCs/>
      <w:sz w:val="32"/>
      <w:szCs w:val="32"/>
      <w:u w:val="single"/>
      <w:lang w:val="en-US"/>
    </w:rPr>
  </w:style>
  <w:style w:type="paragraph" w:styleId="Heading3">
    <w:name w:val="heading 3"/>
    <w:basedOn w:val="Normal"/>
    <w:next w:val="Normal"/>
    <w:link w:val="Heading3Char"/>
    <w:uiPriority w:val="9"/>
    <w:semiHidden/>
    <w:unhideWhenUsed/>
    <w:qFormat/>
    <w:rsid w:val="0033311B"/>
    <w:pPr>
      <w:keepNext/>
      <w:spacing w:before="240" w:after="60"/>
      <w:outlineLvl w:val="2"/>
    </w:pPr>
    <w:rPr>
      <w:rFonts w:ascii="Cambria" w:hAnsi="Cambria"/>
      <w:b/>
      <w:bCs/>
      <w:sz w:val="26"/>
      <w:szCs w:val="26"/>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mbria" w:eastAsia="Times New Roman" w:hAnsi="Cambria" w:cs="Times New Roman"/>
      <w:b/>
      <w:bCs/>
      <w:kern w:val="32"/>
      <w:sz w:val="32"/>
      <w:szCs w:val="32"/>
      <w:lang w:val="de-DE" w:eastAsia="en-US"/>
    </w:rPr>
  </w:style>
  <w:style w:type="paragraph" w:customStyle="1" w:styleId="TTPTitle">
    <w:name w:val="TTP Title"/>
    <w:basedOn w:val="Normal"/>
    <w:next w:val="TTPAuthors"/>
    <w:uiPriority w:val="99"/>
    <w:pPr>
      <w:spacing w:after="120"/>
      <w:jc w:val="center"/>
    </w:pPr>
    <w:rPr>
      <w:rFonts w:ascii="Arial" w:hAnsi="Arial" w:cs="Arial"/>
      <w:b/>
      <w:bCs/>
      <w:sz w:val="30"/>
      <w:szCs w:val="30"/>
      <w:lang w:val="en-US"/>
    </w:rPr>
  </w:style>
  <w:style w:type="paragraph" w:customStyle="1" w:styleId="TTPAuthors">
    <w:name w:val="TTP Author(s)"/>
    <w:basedOn w:val="Normal"/>
    <w:next w:val="TTPAddress"/>
    <w:uiPriority w:val="99"/>
    <w:pPr>
      <w:spacing w:before="120"/>
      <w:jc w:val="center"/>
    </w:pPr>
    <w:rPr>
      <w:rFonts w:ascii="Arial" w:hAnsi="Arial" w:cs="Arial"/>
      <w:sz w:val="28"/>
      <w:szCs w:val="28"/>
      <w:lang w:val="en-US"/>
    </w:rPr>
  </w:style>
  <w:style w:type="paragraph" w:customStyle="1" w:styleId="TTPAddress">
    <w:name w:val="TTP Address"/>
    <w:basedOn w:val="Normal"/>
    <w:uiPriority w:val="99"/>
    <w:pPr>
      <w:spacing w:before="120"/>
      <w:jc w:val="center"/>
    </w:pPr>
    <w:rPr>
      <w:rFonts w:ascii="Arial" w:hAnsi="Arial" w:cs="Arial"/>
      <w:sz w:val="22"/>
      <w:szCs w:val="22"/>
      <w:lang w:val="en-US"/>
    </w:rPr>
  </w:style>
  <w:style w:type="paragraph" w:customStyle="1" w:styleId="TTPSectionHeading">
    <w:name w:val="TTP Section Heading"/>
    <w:basedOn w:val="Normal"/>
    <w:next w:val="TTPParagraph1st"/>
    <w:uiPriority w:val="99"/>
    <w:pPr>
      <w:spacing w:before="360" w:after="120"/>
      <w:jc w:val="both"/>
    </w:pPr>
    <w:rPr>
      <w:b/>
      <w:bCs/>
      <w:sz w:val="24"/>
      <w:szCs w:val="24"/>
      <w:lang w:val="en-US"/>
    </w:rPr>
  </w:style>
  <w:style w:type="paragraph" w:customStyle="1" w:styleId="TTPParagraph1st">
    <w:name w:val="TTP Paragraph (1st)"/>
    <w:basedOn w:val="Normal"/>
    <w:next w:val="TTPParagraphothers"/>
    <w:uiPriority w:val="99"/>
    <w:pPr>
      <w:jc w:val="both"/>
    </w:pPr>
    <w:rPr>
      <w:sz w:val="24"/>
      <w:szCs w:val="24"/>
      <w:lang w:val="en-US"/>
    </w:rPr>
  </w:style>
  <w:style w:type="paragraph" w:customStyle="1" w:styleId="TTPParagraphothers">
    <w:name w:val="TTP Paragraph (others)"/>
    <w:basedOn w:val="TTPParagraph1st"/>
    <w:uiPriority w:val="99"/>
    <w:pPr>
      <w:ind w:firstLine="283"/>
    </w:pPr>
  </w:style>
  <w:style w:type="paragraph" w:customStyle="1" w:styleId="TTPReference">
    <w:name w:val="TTP Reference"/>
    <w:basedOn w:val="Normal"/>
    <w:uiPriority w:val="99"/>
    <w:pPr>
      <w:tabs>
        <w:tab w:val="left" w:pos="426"/>
      </w:tabs>
      <w:spacing w:after="120" w:line="288" w:lineRule="atLeast"/>
      <w:jc w:val="both"/>
    </w:pPr>
    <w:rPr>
      <w:sz w:val="24"/>
      <w:szCs w:val="24"/>
    </w:rPr>
  </w:style>
  <w:style w:type="paragraph" w:customStyle="1" w:styleId="TTPKeywords">
    <w:name w:val="TTP Keywords"/>
    <w:basedOn w:val="Normal"/>
    <w:next w:val="TTPAbstract"/>
    <w:uiPriority w:val="99"/>
    <w:pPr>
      <w:spacing w:before="360"/>
      <w:jc w:val="both"/>
    </w:pPr>
    <w:rPr>
      <w:rFonts w:ascii="Arial" w:hAnsi="Arial" w:cs="Arial"/>
      <w:sz w:val="22"/>
      <w:szCs w:val="22"/>
      <w:lang w:val="en-US"/>
    </w:rPr>
  </w:style>
  <w:style w:type="paragraph" w:customStyle="1" w:styleId="TTPAbstract">
    <w:name w:val="TTP Abstract"/>
    <w:basedOn w:val="Normal"/>
    <w:next w:val="TTPSectionHeading"/>
    <w:uiPriority w:val="99"/>
    <w:pPr>
      <w:spacing w:before="360"/>
      <w:jc w:val="both"/>
    </w:pPr>
    <w:rPr>
      <w:sz w:val="24"/>
      <w:szCs w:val="24"/>
      <w:lang w:val="en-US"/>
    </w:rPr>
  </w:style>
  <w:style w:type="paragraph" w:customStyle="1" w:styleId="TTPEquation">
    <w:name w:val="TTP Equation"/>
    <w:basedOn w:val="Normal"/>
    <w:next w:val="TTPParagraph1st"/>
    <w:uiPriority w:val="99"/>
    <w:pPr>
      <w:tabs>
        <w:tab w:val="right" w:pos="9923"/>
      </w:tabs>
      <w:spacing w:before="240" w:after="240"/>
      <w:ind w:left="284" w:right="-11"/>
      <w:jc w:val="both"/>
    </w:pPr>
    <w:rPr>
      <w:sz w:val="24"/>
      <w:szCs w:val="24"/>
    </w:rPr>
  </w:style>
  <w:style w:type="paragraph" w:styleId="Header">
    <w:name w:val="header"/>
    <w:basedOn w:val="Normal"/>
    <w:link w:val="HeaderChar"/>
    <w:uiPriority w:val="99"/>
    <w:pPr>
      <w:tabs>
        <w:tab w:val="center" w:pos="4536"/>
        <w:tab w:val="right" w:pos="9072"/>
      </w:tabs>
    </w:pPr>
  </w:style>
  <w:style w:type="character" w:customStyle="1" w:styleId="HeaderChar">
    <w:name w:val="Header Char"/>
    <w:link w:val="Header"/>
    <w:uiPriority w:val="99"/>
    <w:semiHidden/>
    <w:locked/>
    <w:rPr>
      <w:rFonts w:cs="Times New Roman"/>
      <w:sz w:val="20"/>
      <w:szCs w:val="20"/>
      <w:lang w:val="de-DE" w:eastAsia="en-US"/>
    </w:rPr>
  </w:style>
  <w:style w:type="paragraph" w:styleId="Footer">
    <w:name w:val="footer"/>
    <w:basedOn w:val="Normal"/>
    <w:link w:val="FooterChar"/>
    <w:uiPriority w:val="99"/>
    <w:pPr>
      <w:tabs>
        <w:tab w:val="center" w:pos="4536"/>
        <w:tab w:val="right" w:pos="9072"/>
      </w:tabs>
    </w:pPr>
  </w:style>
  <w:style w:type="character" w:customStyle="1" w:styleId="FooterChar">
    <w:name w:val="Footer Char"/>
    <w:link w:val="Footer"/>
    <w:uiPriority w:val="99"/>
    <w:semiHidden/>
    <w:locked/>
    <w:rPr>
      <w:rFonts w:cs="Times New Roman"/>
      <w:sz w:val="20"/>
      <w:szCs w:val="20"/>
      <w:lang w:val="de-DE" w:eastAsia="en-US"/>
    </w:rPr>
  </w:style>
  <w:style w:type="paragraph" w:customStyle="1" w:styleId="TTPFootnote">
    <w:name w:val="TTP Footnote"/>
    <w:basedOn w:val="TTPParagraphothers"/>
    <w:uiPriority w:val="99"/>
    <w:pPr>
      <w:pBdr>
        <w:top w:val="single" w:sz="4" w:space="5" w:color="auto"/>
      </w:pBdr>
      <w:spacing w:before="600"/>
      <w:ind w:firstLine="284"/>
    </w:pPr>
    <w:rPr>
      <w:sz w:val="22"/>
      <w:szCs w:val="22"/>
    </w:rPr>
  </w:style>
  <w:style w:type="character" w:styleId="Hyperlink">
    <w:name w:val="Hyperlink"/>
    <w:uiPriority w:val="99"/>
    <w:rPr>
      <w:rFonts w:cs="Times New Roman"/>
      <w:color w:val="0000FF"/>
      <w:u w:val="single"/>
    </w:rPr>
  </w:style>
  <w:style w:type="character" w:styleId="FollowedHyperlink">
    <w:name w:val="FollowedHyperlink"/>
    <w:uiPriority w:val="99"/>
    <w:rPr>
      <w:rFonts w:cs="Times New Roman"/>
      <w:color w:val="800080"/>
      <w:u w:val="single"/>
    </w:rPr>
  </w:style>
  <w:style w:type="paragraph" w:styleId="BalloonText">
    <w:name w:val="Balloon Text"/>
    <w:basedOn w:val="Normal"/>
    <w:link w:val="BalloonTextChar"/>
    <w:uiPriority w:val="99"/>
    <w:semiHidden/>
    <w:rPr>
      <w:rFonts w:ascii="Tahoma" w:hAnsi="Tahoma" w:cs="Tahoma"/>
      <w:sz w:val="16"/>
      <w:szCs w:val="16"/>
    </w:rPr>
  </w:style>
  <w:style w:type="character" w:customStyle="1" w:styleId="BalloonTextChar">
    <w:name w:val="Balloon Text Char"/>
    <w:link w:val="BalloonText"/>
    <w:uiPriority w:val="99"/>
    <w:semiHidden/>
    <w:locked/>
    <w:rPr>
      <w:rFonts w:ascii="Tahoma" w:hAnsi="Tahoma" w:cs="Tahoma"/>
      <w:sz w:val="16"/>
      <w:szCs w:val="16"/>
      <w:lang w:val="de-DE" w:eastAsia="en-US"/>
    </w:rPr>
  </w:style>
  <w:style w:type="paragraph" w:styleId="FootnoteText">
    <w:name w:val="footnote text"/>
    <w:basedOn w:val="Normal"/>
    <w:link w:val="FootnoteTextChar"/>
    <w:uiPriority w:val="99"/>
    <w:semiHidden/>
  </w:style>
  <w:style w:type="character" w:customStyle="1" w:styleId="FootnoteTextChar">
    <w:name w:val="Footnote Text Char"/>
    <w:link w:val="FootnoteText"/>
    <w:uiPriority w:val="99"/>
    <w:semiHidden/>
    <w:locked/>
    <w:rPr>
      <w:rFonts w:cs="Times New Roman"/>
      <w:sz w:val="20"/>
      <w:szCs w:val="20"/>
      <w:lang w:val="de-DE" w:eastAsia="en-US"/>
    </w:rPr>
  </w:style>
  <w:style w:type="character" w:styleId="FootnoteReference">
    <w:name w:val="footnote reference"/>
    <w:uiPriority w:val="99"/>
    <w:semiHidden/>
    <w:rPr>
      <w:rFonts w:cs="Times New Roman"/>
      <w:vertAlign w:val="superscript"/>
    </w:rPr>
  </w:style>
  <w:style w:type="character" w:styleId="UnresolvedMention">
    <w:name w:val="Unresolved Mention"/>
    <w:uiPriority w:val="99"/>
    <w:semiHidden/>
    <w:unhideWhenUsed/>
    <w:rsid w:val="001D7F0D"/>
    <w:rPr>
      <w:rFonts w:cs="Times New Roman"/>
      <w:color w:val="605E5C"/>
      <w:shd w:val="clear" w:color="auto" w:fill="E1DFDD"/>
    </w:rPr>
  </w:style>
  <w:style w:type="paragraph" w:styleId="Revision">
    <w:name w:val="Revision"/>
    <w:hidden/>
    <w:uiPriority w:val="99"/>
    <w:semiHidden/>
    <w:rsid w:val="00D61911"/>
    <w:rPr>
      <w:lang w:val="de-DE" w:eastAsia="en-US"/>
    </w:rPr>
  </w:style>
  <w:style w:type="character" w:customStyle="1" w:styleId="Heading3Char">
    <w:name w:val="Heading 3 Char"/>
    <w:link w:val="Heading3"/>
    <w:uiPriority w:val="9"/>
    <w:semiHidden/>
    <w:rsid w:val="0033311B"/>
    <w:rPr>
      <w:rFonts w:ascii="Cambria" w:eastAsia="Times New Roman" w:hAnsi="Cambria" w:cs="Times New Roman"/>
      <w:b/>
      <w:bCs/>
      <w:sz w:val="26"/>
      <w:szCs w:val="26"/>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54022901">
      <w:marLeft w:val="0"/>
      <w:marRight w:val="0"/>
      <w:marTop w:val="0"/>
      <w:marBottom w:val="0"/>
      <w:divBdr>
        <w:top w:val="none" w:sz="0" w:space="0" w:color="auto"/>
        <w:left w:val="none" w:sz="0" w:space="0" w:color="auto"/>
        <w:bottom w:val="none" w:sz="0" w:space="0" w:color="auto"/>
        <w:right w:val="none" w:sz="0" w:space="0" w:color="auto"/>
      </w:divBdr>
    </w:div>
    <w:div w:id="165402290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32720/idics/gpg.ed1/print.form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doi.org/10.1007/s11340-017-0288-9"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16/j.ijimpeng.2016.12.004"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doi.org/10.1088/0957-0233/26/1/015001" TargetMode="External"/><Relationship Id="rId4" Type="http://schemas.openxmlformats.org/officeDocument/2006/relationships/webSettings" Target="webSettings.xml"/><Relationship Id="rId9" Type="http://schemas.openxmlformats.org/officeDocument/2006/relationships/hyperlink" Target="https://doi.org/10.1016/j.ijimpeng.2015.11.017" TargetMode="External"/><Relationship Id="rId14" Type="http://schemas.openxmlformats.org/officeDocument/2006/relationships/hyperlink" Target="https://doi.org/10.1007/s11340-018-004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2</Pages>
  <Words>1464</Words>
  <Characters>8351</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Your Paper's Title Starts Here:</vt:lpstr>
    </vt:vector>
  </TitlesOfParts>
  <Company>Trans Tech Publications Ltd</Company>
  <LinksUpToDate>false</LinksUpToDate>
  <CharactersWithSpaces>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Paper's Title Starts Here:</dc:title>
  <dc:subject/>
  <dc:creator>Hans Neber-Aeschbacher</dc:creator>
  <cp:keywords/>
  <dc:description/>
  <cp:lastModifiedBy>Richard Curry</cp:lastModifiedBy>
  <cp:revision>6</cp:revision>
  <cp:lastPrinted>2004-11-09T15:57:00Z</cp:lastPrinted>
  <dcterms:created xsi:type="dcterms:W3CDTF">2026-07-31T08:10:00Z</dcterms:created>
  <dcterms:modified xsi:type="dcterms:W3CDTF">2026-07-31T14:06:00Z</dcterms:modified>
</cp:coreProperties>
</file>