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0B6" w14:textId="1FE918A7" w:rsidR="00AB26AF" w:rsidRPr="005D2025" w:rsidRDefault="000915B7" w:rsidP="0064055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5D2025">
        <w:rPr>
          <w:rFonts w:ascii="Arial" w:hAnsi="Arial" w:cs="Arial"/>
          <w:b/>
          <w:bCs/>
          <w:sz w:val="24"/>
          <w:szCs w:val="24"/>
          <w:lang w:val="en-US"/>
        </w:rPr>
        <w:t>The concept of improving the fracture toughness of double-phase high entropy alloy produced by high-pulse sintering method U-FAST</w:t>
      </w:r>
    </w:p>
    <w:p w14:paraId="6A264756" w14:textId="61CE6DFC" w:rsidR="0064055F" w:rsidRPr="005D2025" w:rsidRDefault="0064055F" w:rsidP="0064055F">
      <w:pPr>
        <w:pStyle w:val="TTPAuthors"/>
        <w:spacing w:before="0" w:after="120"/>
        <w:rPr>
          <w:sz w:val="20"/>
          <w:szCs w:val="20"/>
          <w:lang w:val="pl-PL"/>
        </w:rPr>
      </w:pPr>
      <w:r w:rsidRPr="005D2025">
        <w:rPr>
          <w:sz w:val="20"/>
          <w:szCs w:val="20"/>
          <w:lang w:val="pl-PL"/>
        </w:rPr>
        <w:t>D. Górniewicz</w:t>
      </w:r>
      <w:r w:rsidRPr="005D2025">
        <w:rPr>
          <w:sz w:val="20"/>
          <w:szCs w:val="20"/>
          <w:vertAlign w:val="superscript"/>
          <w:lang w:val="pl-PL"/>
        </w:rPr>
        <w:t>1a</w:t>
      </w:r>
      <w:r w:rsidRPr="005D2025">
        <w:rPr>
          <w:b/>
          <w:bCs/>
          <w:sz w:val="20"/>
          <w:szCs w:val="20"/>
          <w:lang w:val="pl-PL"/>
        </w:rPr>
        <w:t>,</w:t>
      </w:r>
      <w:r w:rsidRPr="005D2025">
        <w:rPr>
          <w:sz w:val="20"/>
          <w:szCs w:val="20"/>
          <w:lang w:val="pl-PL"/>
        </w:rPr>
        <w:t xml:space="preserve"> S. </w:t>
      </w:r>
      <w:r w:rsidR="008877CE" w:rsidRPr="005D2025">
        <w:rPr>
          <w:sz w:val="20"/>
          <w:szCs w:val="20"/>
          <w:lang w:val="pl-PL"/>
        </w:rPr>
        <w:t>Jóźwiak</w:t>
      </w:r>
      <w:r w:rsidR="008877CE">
        <w:rPr>
          <w:sz w:val="20"/>
          <w:szCs w:val="20"/>
          <w:vertAlign w:val="superscript"/>
          <w:lang w:val="pl-PL"/>
        </w:rPr>
        <w:t>1</w:t>
      </w:r>
      <w:r w:rsidRPr="005D2025">
        <w:rPr>
          <w:sz w:val="20"/>
          <w:szCs w:val="20"/>
          <w:lang w:val="pl-PL"/>
        </w:rPr>
        <w:t xml:space="preserve">, H. </w:t>
      </w:r>
      <w:r w:rsidR="008877CE" w:rsidRPr="005D2025">
        <w:rPr>
          <w:sz w:val="20"/>
          <w:szCs w:val="20"/>
          <w:lang w:val="pl-PL"/>
        </w:rPr>
        <w:t>Przygucki</w:t>
      </w:r>
      <w:r w:rsidR="008877CE">
        <w:rPr>
          <w:sz w:val="20"/>
          <w:szCs w:val="20"/>
          <w:vertAlign w:val="superscript"/>
          <w:lang w:val="pl-PL"/>
        </w:rPr>
        <w:t>2</w:t>
      </w:r>
      <w:r w:rsidR="008877CE" w:rsidRPr="005D2025">
        <w:rPr>
          <w:sz w:val="20"/>
          <w:szCs w:val="20"/>
          <w:vertAlign w:val="superscript"/>
          <w:lang w:val="pl-PL"/>
        </w:rPr>
        <w:t xml:space="preserve"> </w:t>
      </w:r>
      <w:r w:rsidRPr="005D2025">
        <w:rPr>
          <w:sz w:val="20"/>
          <w:szCs w:val="20"/>
          <w:lang w:val="pl-PL"/>
        </w:rPr>
        <w:t xml:space="preserve">and M. </w:t>
      </w:r>
      <w:r w:rsidR="008877CE" w:rsidRPr="005D2025">
        <w:rPr>
          <w:sz w:val="20"/>
          <w:szCs w:val="20"/>
          <w:lang w:val="pl-PL"/>
        </w:rPr>
        <w:t>Kope</w:t>
      </w:r>
      <w:r w:rsidR="00B97BB0">
        <w:rPr>
          <w:sz w:val="20"/>
          <w:szCs w:val="20"/>
          <w:lang w:val="pl-PL"/>
        </w:rPr>
        <w:t>c</w:t>
      </w:r>
      <w:r w:rsidR="008877CE">
        <w:rPr>
          <w:sz w:val="20"/>
          <w:szCs w:val="20"/>
          <w:vertAlign w:val="superscript"/>
          <w:lang w:val="pl-PL"/>
        </w:rPr>
        <w:t>3, 4</w:t>
      </w:r>
    </w:p>
    <w:p w14:paraId="7EA7E794" w14:textId="7119B552" w:rsidR="005F096C" w:rsidRPr="004A492F" w:rsidRDefault="0064055F" w:rsidP="006B3E08">
      <w:pPr>
        <w:pStyle w:val="TTPAddress"/>
        <w:spacing w:after="120"/>
        <w:rPr>
          <w:sz w:val="20"/>
          <w:szCs w:val="20"/>
          <w:lang w:val="en-GB"/>
        </w:rPr>
      </w:pPr>
      <w:r w:rsidRPr="00404449">
        <w:rPr>
          <w:sz w:val="20"/>
          <w:szCs w:val="20"/>
          <w:vertAlign w:val="superscript"/>
          <w:lang w:val="en-GB"/>
        </w:rPr>
        <w:t>1</w:t>
      </w:r>
      <w:r w:rsidR="007F7A64">
        <w:rPr>
          <w:sz w:val="20"/>
          <w:szCs w:val="20"/>
          <w:vertAlign w:val="superscript"/>
          <w:lang w:val="en-GB"/>
        </w:rPr>
        <w:t>a</w:t>
      </w:r>
      <w:r w:rsidR="007F7A64" w:rsidRPr="007F7A64">
        <w:t xml:space="preserve"> </w:t>
      </w:r>
      <w:r w:rsidR="007F7A64" w:rsidRPr="007F7A64">
        <w:rPr>
          <w:sz w:val="20"/>
          <w:szCs w:val="20"/>
          <w:lang w:val="en-GB"/>
        </w:rPr>
        <w:t>Faculty of Advanced Technologies and Chemistry, Military University of Technology,</w:t>
      </w:r>
      <w:r w:rsidR="005F096C">
        <w:rPr>
          <w:sz w:val="20"/>
          <w:szCs w:val="20"/>
          <w:lang w:val="en-GB"/>
        </w:rPr>
        <w:t xml:space="preserve"> </w:t>
      </w:r>
      <w:r w:rsidR="005F096C" w:rsidRPr="006A63A9">
        <w:rPr>
          <w:sz w:val="20"/>
          <w:szCs w:val="20"/>
        </w:rPr>
        <w:t>Sylwestra Kaliskiego</w:t>
      </w:r>
      <w:r w:rsidR="008877CE" w:rsidRPr="006A63A9">
        <w:rPr>
          <w:sz w:val="20"/>
          <w:szCs w:val="20"/>
        </w:rPr>
        <w:t> </w:t>
      </w:r>
      <w:r w:rsidR="005F096C" w:rsidRPr="006A63A9">
        <w:rPr>
          <w:sz w:val="20"/>
          <w:szCs w:val="20"/>
        </w:rPr>
        <w:t xml:space="preserve">2, </w:t>
      </w:r>
      <w:r w:rsidR="007F7A64" w:rsidRPr="006A63A9">
        <w:rPr>
          <w:sz w:val="20"/>
          <w:szCs w:val="20"/>
        </w:rPr>
        <w:t>00-908 Warsaw, Poland</w:t>
      </w:r>
      <w:r w:rsidR="008877CE" w:rsidRPr="006A63A9">
        <w:rPr>
          <w:sz w:val="20"/>
          <w:szCs w:val="20"/>
        </w:rPr>
        <w:t>,</w:t>
      </w:r>
      <w:r w:rsidRPr="006A63A9">
        <w:rPr>
          <w:sz w:val="20"/>
          <w:szCs w:val="20"/>
        </w:rPr>
        <w:t xml:space="preserve"> </w:t>
      </w:r>
      <w:r w:rsidR="008877CE" w:rsidRPr="006A63A9">
        <w:rPr>
          <w:sz w:val="20"/>
          <w:szCs w:val="20"/>
          <w:vertAlign w:val="superscript"/>
        </w:rPr>
        <w:t>2</w:t>
      </w:r>
      <w:r w:rsidR="007F7A64" w:rsidRPr="006A63A9">
        <w:rPr>
          <w:sz w:val="20"/>
          <w:szCs w:val="20"/>
        </w:rPr>
        <w:t xml:space="preserve">GeniCore Sp. zoo, Wólczyńska 133, </w:t>
      </w:r>
      <w:r w:rsidR="005F096C" w:rsidRPr="006A63A9">
        <w:rPr>
          <w:sz w:val="20"/>
          <w:szCs w:val="20"/>
        </w:rPr>
        <w:t>01-919 Wars</w:t>
      </w:r>
      <w:r w:rsidR="008877CE" w:rsidRPr="006A63A9">
        <w:rPr>
          <w:sz w:val="20"/>
          <w:szCs w:val="20"/>
        </w:rPr>
        <w:t>aw</w:t>
      </w:r>
      <w:r w:rsidR="005F096C" w:rsidRPr="006A63A9">
        <w:rPr>
          <w:sz w:val="20"/>
          <w:szCs w:val="20"/>
        </w:rPr>
        <w:t>, Poland</w:t>
      </w:r>
      <w:r w:rsidR="008877CE" w:rsidRPr="006A63A9">
        <w:rPr>
          <w:sz w:val="20"/>
          <w:szCs w:val="20"/>
        </w:rPr>
        <w:t xml:space="preserve">, </w:t>
      </w:r>
      <w:r w:rsidR="008877CE">
        <w:rPr>
          <w:sz w:val="20"/>
          <w:szCs w:val="20"/>
          <w:vertAlign w:val="superscript"/>
          <w:lang w:val="en-GB"/>
        </w:rPr>
        <w:t>3</w:t>
      </w:r>
      <w:r w:rsidR="005F096C" w:rsidRPr="005F096C">
        <w:rPr>
          <w:sz w:val="20"/>
          <w:szCs w:val="20"/>
          <w:lang w:val="en-GB"/>
        </w:rPr>
        <w:t>Institute of Fundamental Technological Research, Polish Academy of Sciences, Pawi</w:t>
      </w:r>
      <w:r w:rsidR="005F096C">
        <w:rPr>
          <w:sz w:val="20"/>
          <w:szCs w:val="20"/>
          <w:lang w:val="en-GB"/>
        </w:rPr>
        <w:t>ń</w:t>
      </w:r>
      <w:r w:rsidR="005F096C" w:rsidRPr="005F096C">
        <w:rPr>
          <w:sz w:val="20"/>
          <w:szCs w:val="20"/>
          <w:lang w:val="en-GB"/>
        </w:rPr>
        <w:t>skiego 5B,</w:t>
      </w:r>
      <w:r w:rsidR="008877CE">
        <w:rPr>
          <w:sz w:val="20"/>
          <w:szCs w:val="20"/>
          <w:lang w:val="en-GB"/>
        </w:rPr>
        <w:t xml:space="preserve"> </w:t>
      </w:r>
      <w:r w:rsidR="005F096C" w:rsidRPr="005F096C">
        <w:rPr>
          <w:sz w:val="20"/>
          <w:szCs w:val="20"/>
          <w:lang w:val="en-GB"/>
        </w:rPr>
        <w:t xml:space="preserve">02-106 </w:t>
      </w:r>
      <w:r w:rsidR="008877CE" w:rsidRPr="005F096C">
        <w:rPr>
          <w:sz w:val="20"/>
          <w:szCs w:val="20"/>
          <w:lang w:val="en-GB"/>
        </w:rPr>
        <w:t>Wars</w:t>
      </w:r>
      <w:r w:rsidR="008877CE">
        <w:rPr>
          <w:sz w:val="20"/>
          <w:szCs w:val="20"/>
          <w:lang w:val="en-GB"/>
        </w:rPr>
        <w:t>aw</w:t>
      </w:r>
      <w:r w:rsidR="005F096C" w:rsidRPr="005F096C">
        <w:rPr>
          <w:sz w:val="20"/>
          <w:szCs w:val="20"/>
          <w:lang w:val="en-GB"/>
        </w:rPr>
        <w:t>, Poland</w:t>
      </w:r>
      <w:r w:rsidR="008877CE">
        <w:rPr>
          <w:sz w:val="20"/>
          <w:szCs w:val="20"/>
          <w:lang w:val="en-GB"/>
        </w:rPr>
        <w:t xml:space="preserve">, </w:t>
      </w:r>
      <w:r w:rsidR="00CA43F0">
        <w:rPr>
          <w:sz w:val="20"/>
          <w:szCs w:val="20"/>
          <w:vertAlign w:val="superscript"/>
          <w:lang w:val="en-GB"/>
        </w:rPr>
        <w:t>4</w:t>
      </w:r>
      <w:r w:rsidR="008877CE" w:rsidRPr="008877CE">
        <w:rPr>
          <w:sz w:val="20"/>
          <w:szCs w:val="20"/>
          <w:lang w:val="en-GB"/>
        </w:rPr>
        <w:t>Department of Mechanical Engineering, Imperial College London, London SW7 2AZ, UK</w:t>
      </w:r>
    </w:p>
    <w:p w14:paraId="5E963E40" w14:textId="7464D469" w:rsidR="0064055F" w:rsidRDefault="0064055F" w:rsidP="0064055F">
      <w:pPr>
        <w:pStyle w:val="TTPAddress"/>
        <w:spacing w:before="0" w:after="120"/>
        <w:rPr>
          <w:sz w:val="20"/>
          <w:szCs w:val="20"/>
          <w:lang w:val="en-GB"/>
        </w:rPr>
      </w:pPr>
      <w:r w:rsidRPr="00404449">
        <w:rPr>
          <w:sz w:val="20"/>
          <w:szCs w:val="20"/>
          <w:vertAlign w:val="superscript"/>
          <w:lang w:val="en-GB"/>
        </w:rPr>
        <w:t>a</w:t>
      </w:r>
      <w:r w:rsidR="005F096C" w:rsidRPr="005F096C">
        <w:rPr>
          <w:sz w:val="20"/>
          <w:szCs w:val="20"/>
          <w:lang w:val="en-GB"/>
        </w:rPr>
        <w:t>Correspondence</w:t>
      </w:r>
      <w:r w:rsidR="002D11DF">
        <w:rPr>
          <w:sz w:val="20"/>
          <w:szCs w:val="20"/>
          <w:lang w:val="en-GB"/>
        </w:rPr>
        <w:t xml:space="preserve"> author</w:t>
      </w:r>
      <w:r w:rsidR="005F096C" w:rsidRPr="005F096C">
        <w:rPr>
          <w:sz w:val="20"/>
          <w:szCs w:val="20"/>
          <w:lang w:val="en-GB"/>
        </w:rPr>
        <w:t>:</w:t>
      </w:r>
      <w:r w:rsidR="005F096C">
        <w:rPr>
          <w:sz w:val="20"/>
          <w:szCs w:val="20"/>
          <w:lang w:val="en-GB"/>
        </w:rPr>
        <w:t xml:space="preserve"> </w:t>
      </w:r>
      <w:r w:rsidR="005F096C" w:rsidRPr="005F096C">
        <w:rPr>
          <w:sz w:val="20"/>
          <w:szCs w:val="20"/>
          <w:lang w:val="en-GB"/>
        </w:rPr>
        <w:t>dominika.gorniewicz@wat.edu.pl</w:t>
      </w:r>
    </w:p>
    <w:p w14:paraId="2D2DAAF3" w14:textId="70F14A12" w:rsidR="00D97F81" w:rsidRDefault="00B97BB0" w:rsidP="000F7C97">
      <w:pPr>
        <w:pStyle w:val="TTPAddress"/>
        <w:spacing w:before="0" w:after="120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/>
      </w:r>
      <w:r w:rsidRPr="00404449">
        <w:rPr>
          <w:b/>
          <w:bCs/>
          <w:sz w:val="20"/>
          <w:szCs w:val="20"/>
          <w:lang w:val="en-GB"/>
        </w:rPr>
        <w:t>Abstract.</w:t>
      </w:r>
      <w:r>
        <w:rPr>
          <w:b/>
          <w:bCs/>
          <w:sz w:val="20"/>
          <w:szCs w:val="20"/>
          <w:lang w:val="en-GB"/>
        </w:rPr>
        <w:t xml:space="preserve"> </w:t>
      </w:r>
      <w:r w:rsidR="00B53BB4">
        <w:rPr>
          <w:sz w:val="20"/>
          <w:szCs w:val="20"/>
          <w:lang w:val="en-GB"/>
        </w:rPr>
        <w:t>In this paper,</w:t>
      </w:r>
      <w:r w:rsidR="005F096C" w:rsidRPr="005F096C">
        <w:rPr>
          <w:sz w:val="20"/>
          <w:szCs w:val="20"/>
          <w:lang w:val="en-GB"/>
        </w:rPr>
        <w:t xml:space="preserve"> </w:t>
      </w:r>
      <w:r w:rsidR="000B5B32">
        <w:rPr>
          <w:sz w:val="20"/>
          <w:szCs w:val="20"/>
          <w:lang w:val="en-GB"/>
        </w:rPr>
        <w:t>double</w:t>
      </w:r>
      <w:r w:rsidR="005F096C" w:rsidRPr="005F096C">
        <w:rPr>
          <w:sz w:val="20"/>
          <w:szCs w:val="20"/>
          <w:lang w:val="en-GB"/>
        </w:rPr>
        <w:t xml:space="preserve">-phase high entropy alloys </w:t>
      </w:r>
      <w:r w:rsidR="00B53BB4">
        <w:rPr>
          <w:sz w:val="20"/>
          <w:szCs w:val="20"/>
          <w:lang w:val="en-GB"/>
        </w:rPr>
        <w:t>with</w:t>
      </w:r>
      <w:r w:rsidR="005F096C" w:rsidRPr="005F096C">
        <w:rPr>
          <w:sz w:val="20"/>
          <w:szCs w:val="20"/>
          <w:lang w:val="en-GB"/>
        </w:rPr>
        <w:t xml:space="preserve"> the BCC solid solution </w:t>
      </w:r>
      <w:r w:rsidR="00B53BB4" w:rsidRPr="005F096C">
        <w:rPr>
          <w:sz w:val="20"/>
          <w:szCs w:val="20"/>
          <w:lang w:val="en-GB"/>
        </w:rPr>
        <w:t xml:space="preserve">matrix </w:t>
      </w:r>
      <w:r w:rsidR="005F096C" w:rsidRPr="005F096C">
        <w:rPr>
          <w:sz w:val="20"/>
          <w:szCs w:val="20"/>
          <w:lang w:val="en-GB"/>
        </w:rPr>
        <w:t xml:space="preserve">and the </w:t>
      </w:r>
      <w:r w:rsidR="000828B7" w:rsidRPr="005F096C">
        <w:rPr>
          <w:sz w:val="20"/>
          <w:szCs w:val="20"/>
          <w:lang w:val="en-GB"/>
        </w:rPr>
        <w:t>C14 structure</w:t>
      </w:r>
      <w:r w:rsidR="000828B7">
        <w:rPr>
          <w:sz w:val="20"/>
          <w:szCs w:val="20"/>
          <w:lang w:val="en-GB"/>
        </w:rPr>
        <w:t xml:space="preserve">d </w:t>
      </w:r>
      <w:r w:rsidR="005F096C" w:rsidRPr="005F096C">
        <w:rPr>
          <w:sz w:val="20"/>
          <w:szCs w:val="20"/>
          <w:lang w:val="en-GB"/>
        </w:rPr>
        <w:t>intermetallic Laves phase</w:t>
      </w:r>
      <w:r w:rsidR="00A02A7C">
        <w:rPr>
          <w:sz w:val="20"/>
          <w:szCs w:val="20"/>
          <w:lang w:val="en-GB"/>
        </w:rPr>
        <w:t xml:space="preserve"> precipitates</w:t>
      </w:r>
      <w:r w:rsidR="005F096C" w:rsidRPr="005F096C">
        <w:rPr>
          <w:sz w:val="20"/>
          <w:szCs w:val="20"/>
          <w:lang w:val="en-GB"/>
        </w:rPr>
        <w:t xml:space="preserve"> with the </w:t>
      </w:r>
      <w:r w:rsidR="00B53BB4">
        <w:rPr>
          <w:sz w:val="20"/>
          <w:szCs w:val="20"/>
          <w:lang w:val="en-GB"/>
        </w:rPr>
        <w:t>were obtained</w:t>
      </w:r>
      <w:r w:rsidR="000B5B32">
        <w:rPr>
          <w:sz w:val="20"/>
          <w:szCs w:val="20"/>
          <w:lang w:val="en-GB"/>
        </w:rPr>
        <w:t xml:space="preserve">. </w:t>
      </w:r>
      <w:r w:rsidR="00497AE5">
        <w:rPr>
          <w:sz w:val="20"/>
          <w:szCs w:val="20"/>
          <w:lang w:val="en-GB"/>
        </w:rPr>
        <w:t xml:space="preserve">The mixture of </w:t>
      </w:r>
      <w:r w:rsidR="00B14482">
        <w:rPr>
          <w:sz w:val="20"/>
          <w:szCs w:val="20"/>
          <w:lang w:val="en-GB"/>
        </w:rPr>
        <w:t xml:space="preserve">Co, Cr, Fe, Mn, Ti and </w:t>
      </w:r>
      <w:r w:rsidR="006B3E08">
        <w:rPr>
          <w:sz w:val="20"/>
          <w:szCs w:val="20"/>
          <w:lang w:val="en-GB"/>
        </w:rPr>
        <w:t>CuO</w:t>
      </w:r>
      <w:r w:rsidR="00497AE5">
        <w:rPr>
          <w:sz w:val="20"/>
          <w:szCs w:val="20"/>
          <w:lang w:val="en-GB"/>
        </w:rPr>
        <w:t xml:space="preserve"> powders was sintered at</w:t>
      </w:r>
      <w:r w:rsidR="00CA43F0" w:rsidRPr="006A63A9">
        <w:rPr>
          <w:sz w:val="20"/>
          <w:szCs w:val="20"/>
          <w:lang w:val="en-GB"/>
        </w:rPr>
        <w:t xml:space="preserve"> </w:t>
      </w:r>
      <w:r w:rsidR="006A63A9" w:rsidRPr="006A63A9">
        <w:rPr>
          <w:sz w:val="20"/>
          <w:szCs w:val="20"/>
          <w:lang w:val="en-GB"/>
        </w:rPr>
        <w:t>1000</w:t>
      </w:r>
      <w:r w:rsidR="00497AE5" w:rsidRPr="006A63A9">
        <w:rPr>
          <w:sz w:val="20"/>
          <w:szCs w:val="20"/>
          <w:lang w:val="en-GB"/>
        </w:rPr>
        <w:t>°</w:t>
      </w:r>
      <w:r w:rsidR="00497AE5">
        <w:rPr>
          <w:sz w:val="20"/>
          <w:szCs w:val="20"/>
          <w:lang w:val="en-GB"/>
        </w:rPr>
        <w:t xml:space="preserve">C for </w:t>
      </w:r>
      <w:r w:rsidR="006B3E08">
        <w:rPr>
          <w:sz w:val="20"/>
          <w:szCs w:val="20"/>
          <w:lang w:val="en-GB"/>
        </w:rPr>
        <w:t>1</w:t>
      </w:r>
      <w:r w:rsidR="00497AE5">
        <w:rPr>
          <w:sz w:val="20"/>
          <w:szCs w:val="20"/>
          <w:lang w:val="en-GB"/>
        </w:rPr>
        <w:t xml:space="preserve"> min using innovative </w:t>
      </w:r>
      <w:r w:rsidR="00497AE5" w:rsidRPr="00497AE5">
        <w:rPr>
          <w:sz w:val="20"/>
          <w:szCs w:val="20"/>
          <w:lang w:val="en-GB"/>
        </w:rPr>
        <w:t>high-pulse sintering U-FAST method</w:t>
      </w:r>
      <w:r w:rsidR="00497AE5">
        <w:rPr>
          <w:sz w:val="20"/>
          <w:szCs w:val="20"/>
          <w:lang w:val="en-GB"/>
        </w:rPr>
        <w:t xml:space="preserve">. Such method allows to obtain complex </w:t>
      </w:r>
      <w:r w:rsidR="00497AE5" w:rsidRPr="00497AE5">
        <w:rPr>
          <w:sz w:val="20"/>
          <w:szCs w:val="20"/>
          <w:lang w:val="en-GB"/>
        </w:rPr>
        <w:t>TiCoCrFeMn and TiCoCrFeMn+5 vol.% CuO  double-phase high entropy alloy</w:t>
      </w:r>
      <w:r w:rsidR="00497AE5">
        <w:rPr>
          <w:sz w:val="20"/>
          <w:szCs w:val="20"/>
          <w:lang w:val="en-GB"/>
        </w:rPr>
        <w:t xml:space="preserve">s. The followed annealing </w:t>
      </w:r>
      <w:r w:rsidR="000F7C97">
        <w:rPr>
          <w:sz w:val="20"/>
          <w:szCs w:val="20"/>
          <w:lang w:val="en-GB"/>
        </w:rPr>
        <w:t xml:space="preserve">process led to the significant </w:t>
      </w:r>
      <w:r w:rsidR="00CA43F0">
        <w:rPr>
          <w:sz w:val="20"/>
          <w:szCs w:val="20"/>
          <w:lang w:val="en-GB"/>
        </w:rPr>
        <w:t xml:space="preserve">improvement of the </w:t>
      </w:r>
      <w:r w:rsidR="000F7C97">
        <w:rPr>
          <w:sz w:val="20"/>
          <w:szCs w:val="20"/>
          <w:lang w:val="en-GB"/>
        </w:rPr>
        <w:t xml:space="preserve">fracture toughness of </w:t>
      </w:r>
      <w:r w:rsidR="00E00062">
        <w:rPr>
          <w:sz w:val="20"/>
          <w:szCs w:val="20"/>
          <w:lang w:val="en-GB"/>
        </w:rPr>
        <w:t xml:space="preserve">46 </w:t>
      </w:r>
      <w:r w:rsidR="000F7C97">
        <w:rPr>
          <w:sz w:val="20"/>
          <w:szCs w:val="20"/>
          <w:lang w:val="en-GB"/>
        </w:rPr>
        <w:t xml:space="preserve">% for </w:t>
      </w:r>
      <w:r w:rsidR="000F7C97" w:rsidRPr="000F7C97">
        <w:rPr>
          <w:sz w:val="20"/>
          <w:szCs w:val="20"/>
          <w:lang w:val="en-GB"/>
        </w:rPr>
        <w:t>TiCoCrFeMn</w:t>
      </w:r>
      <w:r w:rsidR="000F7C97">
        <w:rPr>
          <w:sz w:val="20"/>
          <w:szCs w:val="20"/>
          <w:lang w:val="en-GB"/>
        </w:rPr>
        <w:t xml:space="preserve"> alloy</w:t>
      </w:r>
      <w:r w:rsidR="000F7C97" w:rsidRPr="000F7C97">
        <w:rPr>
          <w:sz w:val="20"/>
          <w:szCs w:val="20"/>
          <w:lang w:val="en-GB"/>
        </w:rPr>
        <w:t xml:space="preserve"> and </w:t>
      </w:r>
      <w:r w:rsidR="00E00062">
        <w:rPr>
          <w:sz w:val="20"/>
          <w:szCs w:val="20"/>
          <w:lang w:val="en-GB"/>
        </w:rPr>
        <w:t xml:space="preserve">27 </w:t>
      </w:r>
      <w:r w:rsidR="000F7C97">
        <w:rPr>
          <w:sz w:val="20"/>
          <w:szCs w:val="20"/>
          <w:lang w:val="en-GB"/>
        </w:rPr>
        <w:t xml:space="preserve">% for </w:t>
      </w:r>
      <w:r w:rsidR="000F7C97" w:rsidRPr="000F7C97">
        <w:rPr>
          <w:sz w:val="20"/>
          <w:szCs w:val="20"/>
          <w:lang w:val="en-GB"/>
        </w:rPr>
        <w:t>TiCoCrFeMn+5vol.%CuO</w:t>
      </w:r>
      <w:r w:rsidR="000F7C97">
        <w:rPr>
          <w:sz w:val="20"/>
          <w:szCs w:val="20"/>
          <w:lang w:val="en-GB"/>
        </w:rPr>
        <w:t xml:space="preserve"> alloy</w:t>
      </w:r>
      <w:r w:rsidR="00497AE5">
        <w:rPr>
          <w:sz w:val="20"/>
          <w:szCs w:val="20"/>
          <w:lang w:val="en-GB"/>
        </w:rPr>
        <w:t>.</w:t>
      </w:r>
      <w:r w:rsidR="00497AE5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br/>
      </w:r>
      <w:r w:rsidRPr="00B97BB0">
        <w:rPr>
          <w:b/>
          <w:sz w:val="20"/>
          <w:szCs w:val="20"/>
          <w:lang w:val="en-GB"/>
        </w:rPr>
        <w:t>Introduction</w:t>
      </w:r>
      <w:r>
        <w:rPr>
          <w:sz w:val="20"/>
          <w:szCs w:val="20"/>
          <w:lang w:val="en-GB"/>
        </w:rPr>
        <w:br/>
      </w:r>
      <w:r w:rsidR="000F7C97" w:rsidRPr="00E55BF4">
        <w:rPr>
          <w:sz w:val="20"/>
          <w:szCs w:val="20"/>
          <w:lang w:val="en-GB"/>
        </w:rPr>
        <w:t xml:space="preserve">High-entropy alloys are the materials, </w:t>
      </w:r>
      <w:r w:rsidR="00B53BB4">
        <w:rPr>
          <w:sz w:val="20"/>
          <w:szCs w:val="20"/>
          <w:lang w:val="en-GB"/>
        </w:rPr>
        <w:t>t</w:t>
      </w:r>
      <w:r w:rsidR="00B53BB4" w:rsidRPr="00B53BB4">
        <w:rPr>
          <w:sz w:val="20"/>
          <w:szCs w:val="20"/>
          <w:lang w:val="en-GB"/>
        </w:rPr>
        <w:t>hat contain one matrix element and several equiatomic alloying elements</w:t>
      </w:r>
      <w:r w:rsidR="000F7C97">
        <w:rPr>
          <w:sz w:val="20"/>
          <w:szCs w:val="20"/>
          <w:lang w:val="en-GB"/>
        </w:rPr>
        <w:t>.</w:t>
      </w:r>
      <w:r w:rsidR="000F7C97" w:rsidRPr="000F7C97">
        <w:rPr>
          <w:sz w:val="20"/>
          <w:szCs w:val="20"/>
          <w:lang w:val="en-GB"/>
        </w:rPr>
        <w:t xml:space="preserve"> </w:t>
      </w:r>
      <w:r w:rsidR="000F7C97">
        <w:rPr>
          <w:sz w:val="20"/>
          <w:szCs w:val="20"/>
          <w:lang w:val="en-GB"/>
        </w:rPr>
        <w:t>These specific alloys</w:t>
      </w:r>
      <w:r w:rsidR="000F7C97" w:rsidRPr="000F7C97">
        <w:rPr>
          <w:sz w:val="20"/>
          <w:szCs w:val="20"/>
          <w:lang w:val="en-GB"/>
        </w:rPr>
        <w:t xml:space="preserve"> comprise multiple principal elements, </w:t>
      </w:r>
      <w:r w:rsidR="000F7C97">
        <w:rPr>
          <w:sz w:val="20"/>
          <w:szCs w:val="20"/>
          <w:lang w:val="en-GB"/>
        </w:rPr>
        <w:t>which considerably increase</w:t>
      </w:r>
      <w:r w:rsidR="005D406F">
        <w:rPr>
          <w:sz w:val="20"/>
          <w:szCs w:val="20"/>
          <w:lang w:val="en-GB"/>
        </w:rPr>
        <w:t xml:space="preserve"> a</w:t>
      </w:r>
      <w:r w:rsidR="000F7C97" w:rsidRPr="000F7C97">
        <w:rPr>
          <w:sz w:val="20"/>
          <w:szCs w:val="20"/>
          <w:lang w:val="en-GB"/>
        </w:rPr>
        <w:t xml:space="preserve"> possible number of </w:t>
      </w:r>
      <w:r w:rsidR="005D406F">
        <w:rPr>
          <w:sz w:val="20"/>
          <w:szCs w:val="20"/>
          <w:lang w:val="en-GB"/>
        </w:rPr>
        <w:t>their</w:t>
      </w:r>
      <w:r w:rsidR="000F7C97" w:rsidRPr="000F7C97">
        <w:rPr>
          <w:sz w:val="20"/>
          <w:szCs w:val="20"/>
          <w:lang w:val="en-GB"/>
        </w:rPr>
        <w:t xml:space="preserve"> compositions</w:t>
      </w:r>
      <w:r w:rsidR="005D406F">
        <w:rPr>
          <w:sz w:val="20"/>
          <w:szCs w:val="20"/>
          <w:lang w:val="en-GB"/>
        </w:rPr>
        <w:t xml:space="preserve">. High entropy alloys are characterized by </w:t>
      </w:r>
      <w:r w:rsidR="005D406F" w:rsidRPr="005D406F">
        <w:rPr>
          <w:sz w:val="20"/>
          <w:szCs w:val="20"/>
          <w:lang w:val="en-GB"/>
        </w:rPr>
        <w:t>excellent specific strength, superior mechanical performance at high temperature</w:t>
      </w:r>
      <w:r w:rsidR="005D406F">
        <w:rPr>
          <w:sz w:val="20"/>
          <w:szCs w:val="20"/>
          <w:lang w:val="en-GB"/>
        </w:rPr>
        <w:t xml:space="preserve"> </w:t>
      </w:r>
      <w:r w:rsidR="00CA43F0">
        <w:rPr>
          <w:sz w:val="20"/>
          <w:szCs w:val="20"/>
          <w:lang w:val="en-GB"/>
        </w:rPr>
        <w:t>and</w:t>
      </w:r>
      <w:r w:rsidR="00CA43F0" w:rsidRPr="005D406F">
        <w:rPr>
          <w:sz w:val="20"/>
          <w:szCs w:val="20"/>
          <w:lang w:val="en-GB"/>
        </w:rPr>
        <w:t xml:space="preserve"> </w:t>
      </w:r>
      <w:r w:rsidR="005D406F">
        <w:rPr>
          <w:sz w:val="20"/>
          <w:szCs w:val="20"/>
          <w:lang w:val="en-GB"/>
        </w:rPr>
        <w:t>relatively high</w:t>
      </w:r>
      <w:r w:rsidR="005D406F" w:rsidRPr="005D406F">
        <w:rPr>
          <w:sz w:val="20"/>
          <w:szCs w:val="20"/>
          <w:lang w:val="en-GB"/>
        </w:rPr>
        <w:t xml:space="preserve"> fracture toughness</w:t>
      </w:r>
      <w:r w:rsidR="004D68DC">
        <w:rPr>
          <w:sz w:val="20"/>
          <w:szCs w:val="20"/>
          <w:lang w:val="en-GB"/>
        </w:rPr>
        <w:t>,</w:t>
      </w:r>
      <w:r w:rsidR="005D406F">
        <w:rPr>
          <w:sz w:val="20"/>
          <w:szCs w:val="20"/>
          <w:lang w:val="en-GB"/>
        </w:rPr>
        <w:t xml:space="preserve"> which make them a promising </w:t>
      </w:r>
      <w:r w:rsidR="005D406F" w:rsidRPr="005D406F">
        <w:rPr>
          <w:sz w:val="20"/>
          <w:szCs w:val="20"/>
          <w:lang w:val="en-GB"/>
        </w:rPr>
        <w:t>candidates for new applications</w:t>
      </w:r>
      <w:r w:rsidR="005D406F">
        <w:rPr>
          <w:sz w:val="20"/>
          <w:szCs w:val="20"/>
          <w:lang w:val="en-GB"/>
        </w:rPr>
        <w:t xml:space="preserve"> </w:t>
      </w:r>
      <w:r w:rsidR="00497AE5">
        <w:rPr>
          <w:sz w:val="20"/>
          <w:szCs w:val="20"/>
          <w:lang w:val="en-GB"/>
        </w:rPr>
        <w:t>[1-4]</w:t>
      </w:r>
      <w:r w:rsidR="00A02A7C">
        <w:rPr>
          <w:sz w:val="20"/>
          <w:szCs w:val="20"/>
          <w:lang w:val="en-GB"/>
        </w:rPr>
        <w:t>.</w:t>
      </w:r>
      <w:r w:rsidR="005D406F">
        <w:rPr>
          <w:sz w:val="20"/>
          <w:szCs w:val="20"/>
          <w:lang w:val="en-GB"/>
        </w:rPr>
        <w:t xml:space="preserve"> It should be mentioned,</w:t>
      </w:r>
      <w:r w:rsidR="009E073F">
        <w:rPr>
          <w:sz w:val="20"/>
          <w:szCs w:val="20"/>
          <w:lang w:val="en-GB"/>
        </w:rPr>
        <w:t xml:space="preserve"> that </w:t>
      </w:r>
      <w:r w:rsidR="005D406F">
        <w:rPr>
          <w:sz w:val="20"/>
          <w:szCs w:val="20"/>
          <w:lang w:val="en-GB"/>
        </w:rPr>
        <w:t>the hexagonal C14 phase in combination with high-strength, high-entropy BCC solid solution</w:t>
      </w:r>
      <w:r w:rsidR="004D68DC">
        <w:rPr>
          <w:sz w:val="20"/>
          <w:szCs w:val="20"/>
          <w:lang w:val="en-GB"/>
        </w:rPr>
        <w:t xml:space="preserve"> matrix</w:t>
      </w:r>
      <w:r w:rsidR="005D406F">
        <w:rPr>
          <w:sz w:val="20"/>
          <w:szCs w:val="20"/>
          <w:lang w:val="en-GB"/>
        </w:rPr>
        <w:t xml:space="preserve"> </w:t>
      </w:r>
      <w:r w:rsidR="00CA43F0">
        <w:rPr>
          <w:sz w:val="20"/>
          <w:szCs w:val="20"/>
          <w:lang w:val="en-GB"/>
        </w:rPr>
        <w:t xml:space="preserve">extend the </w:t>
      </w:r>
      <w:r w:rsidR="004D68DC">
        <w:rPr>
          <w:sz w:val="20"/>
          <w:szCs w:val="20"/>
          <w:lang w:val="en-GB"/>
        </w:rPr>
        <w:t>possible applications of these materials</w:t>
      </w:r>
      <w:r w:rsidR="005D406F">
        <w:rPr>
          <w:sz w:val="20"/>
          <w:szCs w:val="20"/>
          <w:lang w:val="en-GB"/>
        </w:rPr>
        <w:t xml:space="preserve"> in the field of nuclear energy [5,6] and high-temperature superconduct</w:t>
      </w:r>
      <w:r w:rsidR="004D68DC">
        <w:rPr>
          <w:sz w:val="20"/>
          <w:szCs w:val="20"/>
          <w:lang w:val="en-GB"/>
        </w:rPr>
        <w:t>ors</w:t>
      </w:r>
      <w:r w:rsidR="005D406F">
        <w:rPr>
          <w:sz w:val="20"/>
          <w:szCs w:val="20"/>
          <w:lang w:val="en-GB"/>
        </w:rPr>
        <w:t xml:space="preserve"> [7,8]. </w:t>
      </w:r>
      <w:r w:rsidR="009E073F">
        <w:rPr>
          <w:sz w:val="20"/>
          <w:szCs w:val="20"/>
          <w:lang w:val="en-GB"/>
        </w:rPr>
        <w:t>However</w:t>
      </w:r>
      <w:r w:rsidR="005D406F" w:rsidRPr="00923515">
        <w:rPr>
          <w:sz w:val="20"/>
          <w:szCs w:val="20"/>
          <w:lang w:val="en-GB"/>
        </w:rPr>
        <w:t>, the C14 phase</w:t>
      </w:r>
      <w:r w:rsidR="000828B7">
        <w:rPr>
          <w:sz w:val="20"/>
          <w:szCs w:val="20"/>
          <w:lang w:val="en-GB"/>
        </w:rPr>
        <w:t xml:space="preserve"> itself</w:t>
      </w:r>
      <w:r w:rsidR="005D406F" w:rsidRPr="00923515">
        <w:rPr>
          <w:sz w:val="20"/>
          <w:szCs w:val="20"/>
          <w:lang w:val="en-GB"/>
        </w:rPr>
        <w:t xml:space="preserve"> is characterized by a low coefficient of fracture toughness KIc,</w:t>
      </w:r>
      <w:r w:rsidR="009E073F">
        <w:rPr>
          <w:sz w:val="20"/>
          <w:szCs w:val="20"/>
          <w:lang w:val="en-GB"/>
        </w:rPr>
        <w:t xml:space="preserve"> that</w:t>
      </w:r>
      <w:r w:rsidR="005D406F" w:rsidRPr="00923515">
        <w:rPr>
          <w:sz w:val="20"/>
          <w:szCs w:val="20"/>
          <w:lang w:val="en-GB"/>
        </w:rPr>
        <w:t xml:space="preserve"> not exceed 2 MPa/m^2</w:t>
      </w:r>
      <w:r w:rsidR="009E073F">
        <w:rPr>
          <w:sz w:val="20"/>
          <w:szCs w:val="20"/>
          <w:lang w:val="en-GB"/>
        </w:rPr>
        <w:t>, which completely eliminate</w:t>
      </w:r>
      <w:r w:rsidR="000828B7">
        <w:rPr>
          <w:sz w:val="20"/>
          <w:szCs w:val="20"/>
          <w:lang w:val="en-GB"/>
        </w:rPr>
        <w:t>s</w:t>
      </w:r>
      <w:r w:rsidR="009E073F">
        <w:rPr>
          <w:sz w:val="20"/>
          <w:szCs w:val="20"/>
          <w:lang w:val="en-GB"/>
        </w:rPr>
        <w:t xml:space="preserve"> </w:t>
      </w:r>
      <w:r w:rsidR="000828B7">
        <w:rPr>
          <w:sz w:val="20"/>
          <w:szCs w:val="20"/>
          <w:lang w:val="en-GB"/>
        </w:rPr>
        <w:t>it</w:t>
      </w:r>
      <w:r w:rsidR="009E073F">
        <w:rPr>
          <w:sz w:val="20"/>
          <w:szCs w:val="20"/>
          <w:lang w:val="en-GB"/>
        </w:rPr>
        <w:t xml:space="preserve"> from potential applications </w:t>
      </w:r>
      <w:r w:rsidR="005D406F">
        <w:rPr>
          <w:sz w:val="20"/>
          <w:szCs w:val="20"/>
          <w:lang w:val="en-GB"/>
        </w:rPr>
        <w:t xml:space="preserve"> [9]</w:t>
      </w:r>
      <w:r w:rsidR="009E073F">
        <w:rPr>
          <w:sz w:val="20"/>
          <w:szCs w:val="20"/>
          <w:lang w:val="en-GB"/>
        </w:rPr>
        <w:t>.</w:t>
      </w:r>
      <w:r w:rsidR="005D406F" w:rsidRPr="00923515">
        <w:rPr>
          <w:sz w:val="20"/>
          <w:szCs w:val="20"/>
          <w:lang w:val="en-GB"/>
        </w:rPr>
        <w:t xml:space="preserve"> The strength properties </w:t>
      </w:r>
      <w:r w:rsidR="009E073F">
        <w:rPr>
          <w:sz w:val="20"/>
          <w:szCs w:val="20"/>
          <w:lang w:val="en-GB"/>
        </w:rPr>
        <w:t xml:space="preserve">including fracture toughness </w:t>
      </w:r>
      <w:r w:rsidR="005D406F" w:rsidRPr="00923515">
        <w:rPr>
          <w:sz w:val="20"/>
          <w:szCs w:val="20"/>
          <w:lang w:val="en-GB"/>
        </w:rPr>
        <w:t xml:space="preserve">of </w:t>
      </w:r>
      <w:r w:rsidR="005D406F">
        <w:rPr>
          <w:sz w:val="20"/>
          <w:szCs w:val="20"/>
          <w:lang w:val="en-GB"/>
        </w:rPr>
        <w:t>high entropy</w:t>
      </w:r>
      <w:r w:rsidR="005D406F" w:rsidRPr="00923515">
        <w:rPr>
          <w:sz w:val="20"/>
          <w:szCs w:val="20"/>
          <w:lang w:val="en-GB"/>
        </w:rPr>
        <w:t xml:space="preserve"> alloys</w:t>
      </w:r>
      <w:r w:rsidR="005D406F">
        <w:rPr>
          <w:sz w:val="20"/>
          <w:szCs w:val="20"/>
          <w:lang w:val="en-GB"/>
        </w:rPr>
        <w:t xml:space="preserve"> with C14 second phase</w:t>
      </w:r>
      <w:r w:rsidR="005D406F" w:rsidRPr="00923515">
        <w:rPr>
          <w:sz w:val="20"/>
          <w:szCs w:val="20"/>
          <w:lang w:val="en-GB"/>
        </w:rPr>
        <w:t xml:space="preserve"> </w:t>
      </w:r>
      <w:r w:rsidR="009E073F">
        <w:rPr>
          <w:sz w:val="20"/>
          <w:szCs w:val="20"/>
          <w:lang w:val="en-GB"/>
        </w:rPr>
        <w:t>could be improved</w:t>
      </w:r>
      <w:r w:rsidR="005D406F" w:rsidRPr="00923515">
        <w:rPr>
          <w:sz w:val="20"/>
          <w:szCs w:val="20"/>
          <w:lang w:val="en-GB"/>
        </w:rPr>
        <w:t xml:space="preserve"> by inhibiting the growth of the gra</w:t>
      </w:r>
      <w:r w:rsidR="005D406F">
        <w:rPr>
          <w:sz w:val="20"/>
          <w:szCs w:val="20"/>
          <w:lang w:val="en-GB"/>
        </w:rPr>
        <w:t>nular</w:t>
      </w:r>
      <w:r w:rsidR="005D406F" w:rsidRPr="00923515">
        <w:rPr>
          <w:sz w:val="20"/>
          <w:szCs w:val="20"/>
          <w:lang w:val="en-GB"/>
        </w:rPr>
        <w:t xml:space="preserve"> structure</w:t>
      </w:r>
      <w:r w:rsidR="005D406F">
        <w:rPr>
          <w:sz w:val="20"/>
          <w:szCs w:val="20"/>
          <w:lang w:val="en-GB"/>
        </w:rPr>
        <w:t xml:space="preserve"> </w:t>
      </w:r>
      <w:r w:rsidR="005D406F" w:rsidRPr="008877CE">
        <w:rPr>
          <w:sz w:val="20"/>
          <w:szCs w:val="20"/>
        </w:rPr>
        <w:t xml:space="preserve">by </w:t>
      </w:r>
      <w:r w:rsidR="004D68DC" w:rsidRPr="008877CE">
        <w:rPr>
          <w:sz w:val="20"/>
          <w:szCs w:val="20"/>
        </w:rPr>
        <w:t xml:space="preserve">in-situ formed oxide ceramics </w:t>
      </w:r>
      <w:r w:rsidR="005D406F" w:rsidRPr="008877CE">
        <w:rPr>
          <w:sz w:val="20"/>
          <w:szCs w:val="20"/>
        </w:rPr>
        <w:t xml:space="preserve">precipitates. </w:t>
      </w:r>
      <w:r w:rsidR="009E073F">
        <w:rPr>
          <w:sz w:val="20"/>
          <w:szCs w:val="20"/>
        </w:rPr>
        <w:t xml:space="preserve">Thus, the main aim of this work was </w:t>
      </w:r>
      <w:r w:rsidR="005D406F" w:rsidRPr="008877CE">
        <w:rPr>
          <w:sz w:val="20"/>
          <w:szCs w:val="20"/>
        </w:rPr>
        <w:t xml:space="preserve">to improve fracture toughness </w:t>
      </w:r>
      <w:r w:rsidR="009E073F">
        <w:rPr>
          <w:sz w:val="20"/>
          <w:szCs w:val="20"/>
        </w:rPr>
        <w:t>of high entropy alloys in question by</w:t>
      </w:r>
      <w:r w:rsidR="005D406F" w:rsidRPr="008877CE">
        <w:rPr>
          <w:sz w:val="20"/>
          <w:szCs w:val="20"/>
        </w:rPr>
        <w:t xml:space="preserve"> </w:t>
      </w:r>
      <w:r w:rsidR="005D406F">
        <w:rPr>
          <w:sz w:val="20"/>
          <w:szCs w:val="20"/>
          <w:lang w:val="en-GB"/>
        </w:rPr>
        <w:t xml:space="preserve">a modification of their structure by </w:t>
      </w:r>
      <w:r w:rsidR="00CA43F0">
        <w:rPr>
          <w:sz w:val="20"/>
          <w:szCs w:val="20"/>
          <w:lang w:val="en-GB"/>
        </w:rPr>
        <w:t xml:space="preserve">addition of </w:t>
      </w:r>
      <w:r w:rsidR="005D406F">
        <w:rPr>
          <w:sz w:val="20"/>
          <w:szCs w:val="20"/>
          <w:lang w:val="en-GB"/>
        </w:rPr>
        <w:t>oxides to the</w:t>
      </w:r>
      <w:r w:rsidR="00CA43F0">
        <w:rPr>
          <w:sz w:val="20"/>
          <w:szCs w:val="20"/>
          <w:lang w:val="en-GB"/>
        </w:rPr>
        <w:t>ir</w:t>
      </w:r>
      <w:r w:rsidR="005D406F">
        <w:rPr>
          <w:sz w:val="20"/>
          <w:szCs w:val="20"/>
          <w:lang w:val="en-GB"/>
        </w:rPr>
        <w:t xml:space="preserve"> matrix</w:t>
      </w:r>
      <w:r w:rsidR="00AB088A">
        <w:rPr>
          <w:sz w:val="20"/>
          <w:szCs w:val="20"/>
          <w:lang w:val="en-GB"/>
        </w:rPr>
        <w:t xml:space="preserve">. These oxides could effectively limit </w:t>
      </w:r>
      <w:r w:rsidR="004D68DC">
        <w:rPr>
          <w:sz w:val="20"/>
          <w:szCs w:val="20"/>
          <w:lang w:val="en-GB"/>
        </w:rPr>
        <w:t xml:space="preserve">the </w:t>
      </w:r>
      <w:r w:rsidR="00AB088A">
        <w:rPr>
          <w:sz w:val="20"/>
          <w:szCs w:val="20"/>
          <w:lang w:val="en-GB"/>
        </w:rPr>
        <w:t>crack propagation</w:t>
      </w:r>
      <w:r w:rsidR="005D406F">
        <w:rPr>
          <w:sz w:val="20"/>
          <w:szCs w:val="20"/>
          <w:lang w:val="en-GB"/>
        </w:rPr>
        <w:t xml:space="preserve">. </w:t>
      </w:r>
      <w:r w:rsidR="00AB088A">
        <w:rPr>
          <w:sz w:val="20"/>
          <w:szCs w:val="20"/>
          <w:lang w:val="en-GB"/>
        </w:rPr>
        <w:t>A</w:t>
      </w:r>
      <w:r w:rsidR="005D406F">
        <w:rPr>
          <w:sz w:val="20"/>
          <w:szCs w:val="20"/>
          <w:lang w:val="en-GB"/>
        </w:rPr>
        <w:t xml:space="preserve">ccording to the Orowan-Ashby and Mott-Nabarro mechanisms [10], the presence of fine - dispersion particles of </w:t>
      </w:r>
      <w:r w:rsidR="00AB088A">
        <w:rPr>
          <w:sz w:val="20"/>
          <w:szCs w:val="20"/>
          <w:lang w:val="en-GB"/>
        </w:rPr>
        <w:t>different</w:t>
      </w:r>
      <w:r w:rsidR="005D406F">
        <w:rPr>
          <w:sz w:val="20"/>
          <w:szCs w:val="20"/>
          <w:lang w:val="en-GB"/>
        </w:rPr>
        <w:t xml:space="preserve">, hard phase in the structure leads to the strengthening of the alloy through the interaction of dislocations with particles. </w:t>
      </w:r>
      <w:r w:rsidR="00AB088A">
        <w:rPr>
          <w:sz w:val="20"/>
          <w:szCs w:val="20"/>
          <w:lang w:val="en-GB"/>
        </w:rPr>
        <w:t>Such phenomenon effectively limit the</w:t>
      </w:r>
      <w:r w:rsidR="005D406F">
        <w:rPr>
          <w:sz w:val="20"/>
          <w:szCs w:val="20"/>
          <w:lang w:val="en-GB"/>
        </w:rPr>
        <w:t xml:space="preserve"> crack propagation </w:t>
      </w:r>
      <w:r w:rsidR="00AB088A">
        <w:rPr>
          <w:sz w:val="20"/>
          <w:szCs w:val="20"/>
          <w:lang w:val="en-GB"/>
        </w:rPr>
        <w:t>through</w:t>
      </w:r>
      <w:r w:rsidR="005D406F">
        <w:rPr>
          <w:sz w:val="20"/>
          <w:szCs w:val="20"/>
          <w:lang w:val="en-GB"/>
        </w:rPr>
        <w:t xml:space="preserve"> deflecting or meandering the crack in the grain area, grain boundaries or interfacial boundaries. </w:t>
      </w:r>
      <w:r w:rsidR="005D406F" w:rsidRPr="004B1330">
        <w:rPr>
          <w:sz w:val="20"/>
          <w:szCs w:val="20"/>
          <w:lang w:val="en-GB"/>
        </w:rPr>
        <w:t>In addition, the introduced particles increase the elastic stress in the crystal lattice of the grains, which also limits the</w:t>
      </w:r>
      <w:r w:rsidR="00190E41">
        <w:rPr>
          <w:sz w:val="20"/>
          <w:szCs w:val="20"/>
          <w:lang w:val="en-GB"/>
        </w:rPr>
        <w:t xml:space="preserve"> crack</w:t>
      </w:r>
      <w:r w:rsidR="005D406F" w:rsidRPr="004B1330">
        <w:rPr>
          <w:sz w:val="20"/>
          <w:szCs w:val="20"/>
          <w:lang w:val="en-GB"/>
        </w:rPr>
        <w:t xml:space="preserve"> development.</w:t>
      </w:r>
      <w:r w:rsidR="00AB088A">
        <w:rPr>
          <w:sz w:val="20"/>
          <w:szCs w:val="20"/>
          <w:lang w:val="en-GB"/>
        </w:rPr>
        <w:br/>
      </w:r>
      <w:r w:rsidR="005D406F">
        <w:rPr>
          <w:sz w:val="20"/>
          <w:szCs w:val="20"/>
          <w:lang w:val="en-GB"/>
        </w:rPr>
        <w:br/>
      </w:r>
      <w:r w:rsidR="00AB088A" w:rsidRPr="00491281">
        <w:rPr>
          <w:b/>
          <w:sz w:val="20"/>
          <w:szCs w:val="20"/>
          <w:lang w:val="en-GB"/>
        </w:rPr>
        <w:t>Results</w:t>
      </w:r>
      <w:r w:rsidR="005D406F">
        <w:rPr>
          <w:sz w:val="20"/>
          <w:szCs w:val="20"/>
          <w:lang w:val="en-GB"/>
        </w:rPr>
        <w:br/>
      </w:r>
      <w:r w:rsidR="00AB088A">
        <w:rPr>
          <w:sz w:val="20"/>
          <w:szCs w:val="20"/>
          <w:lang w:val="en-GB"/>
        </w:rPr>
        <w:t>In this work, two different compositions of</w:t>
      </w:r>
      <w:r w:rsidR="004B1330">
        <w:rPr>
          <w:sz w:val="20"/>
          <w:szCs w:val="20"/>
          <w:lang w:val="en-GB"/>
        </w:rPr>
        <w:t xml:space="preserve"> TiCoCrFeMn and </w:t>
      </w:r>
      <w:r w:rsidR="00AB088A" w:rsidRPr="00AB088A">
        <w:rPr>
          <w:sz w:val="20"/>
          <w:szCs w:val="20"/>
          <w:lang w:val="en-GB"/>
        </w:rPr>
        <w:t>TiCoCrFeMn</w:t>
      </w:r>
      <w:r w:rsidR="00AB088A">
        <w:rPr>
          <w:sz w:val="20"/>
          <w:szCs w:val="20"/>
          <w:lang w:val="en-GB"/>
        </w:rPr>
        <w:t>+</w:t>
      </w:r>
      <w:r w:rsidR="00380C60">
        <w:rPr>
          <w:sz w:val="20"/>
          <w:szCs w:val="20"/>
          <w:lang w:val="en-GB"/>
        </w:rPr>
        <w:t>5 vol.%</w:t>
      </w:r>
      <w:r w:rsidR="00AB088A">
        <w:rPr>
          <w:sz w:val="20"/>
          <w:szCs w:val="20"/>
          <w:lang w:val="en-GB"/>
        </w:rPr>
        <w:t xml:space="preserve"> </w:t>
      </w:r>
      <w:r w:rsidR="00380C60">
        <w:rPr>
          <w:sz w:val="20"/>
          <w:szCs w:val="20"/>
          <w:lang w:val="en-GB"/>
        </w:rPr>
        <w:t xml:space="preserve">CuO </w:t>
      </w:r>
      <w:r w:rsidR="00AB088A">
        <w:rPr>
          <w:sz w:val="20"/>
          <w:szCs w:val="20"/>
          <w:lang w:val="en-GB"/>
        </w:rPr>
        <w:t xml:space="preserve">were </w:t>
      </w:r>
      <w:r w:rsidR="00A47D7B">
        <w:rPr>
          <w:sz w:val="20"/>
          <w:szCs w:val="20"/>
          <w:lang w:val="en-GB"/>
        </w:rPr>
        <w:t xml:space="preserve">annealed for up to 100 hours at </w:t>
      </w:r>
      <w:r w:rsidR="00E00062">
        <w:rPr>
          <w:sz w:val="20"/>
          <w:szCs w:val="20"/>
          <w:lang w:val="en-GB"/>
        </w:rPr>
        <w:t>1000</w:t>
      </w:r>
      <w:r w:rsidR="00A47D7B">
        <w:rPr>
          <w:sz w:val="20"/>
          <w:szCs w:val="20"/>
          <w:lang w:val="en-GB"/>
        </w:rPr>
        <w:t xml:space="preserve">°C and further </w:t>
      </w:r>
      <w:r w:rsidR="00AB088A">
        <w:rPr>
          <w:sz w:val="20"/>
          <w:szCs w:val="20"/>
          <w:lang w:val="en-GB"/>
        </w:rPr>
        <w:t xml:space="preserve">subjected to </w:t>
      </w:r>
      <w:r w:rsidR="00D97F81">
        <w:rPr>
          <w:sz w:val="20"/>
          <w:szCs w:val="20"/>
          <w:lang w:val="en-GB"/>
        </w:rPr>
        <w:t xml:space="preserve">Vickers </w:t>
      </w:r>
      <w:r w:rsidR="00A47D7B">
        <w:rPr>
          <w:sz w:val="20"/>
          <w:szCs w:val="20"/>
          <w:lang w:val="en-GB"/>
        </w:rPr>
        <w:t>hardness measurements to assess the effect of annealing on fracture toughness (</w:t>
      </w:r>
      <w:r w:rsidR="00D97F81">
        <w:rPr>
          <w:sz w:val="20"/>
          <w:szCs w:val="20"/>
          <w:lang w:val="en-GB"/>
        </w:rPr>
        <w:t>Fig</w:t>
      </w:r>
      <w:r w:rsidR="00083584">
        <w:rPr>
          <w:sz w:val="20"/>
          <w:szCs w:val="20"/>
          <w:lang w:val="en-GB"/>
        </w:rPr>
        <w:t>.</w:t>
      </w:r>
      <w:r w:rsidR="00D97F81">
        <w:rPr>
          <w:sz w:val="20"/>
          <w:szCs w:val="20"/>
          <w:lang w:val="en-GB"/>
        </w:rPr>
        <w:t xml:space="preserve"> 1</w:t>
      </w:r>
      <w:r w:rsidR="00A47D7B">
        <w:rPr>
          <w:sz w:val="20"/>
          <w:szCs w:val="20"/>
          <w:lang w:val="en-GB"/>
        </w:rPr>
        <w:t>)</w:t>
      </w:r>
      <w:r w:rsidR="00327829">
        <w:rPr>
          <w:sz w:val="20"/>
          <w:szCs w:val="20"/>
          <w:lang w:val="en-GB"/>
        </w:rPr>
        <w:t xml:space="preserve">. The fracture toughness was calculated using </w:t>
      </w:r>
      <w:r w:rsidR="00190E41">
        <w:rPr>
          <w:sz w:val="20"/>
          <w:szCs w:val="20"/>
          <w:lang w:val="en-GB"/>
        </w:rPr>
        <w:t>modified</w:t>
      </w:r>
      <w:r w:rsidR="006B3E08" w:rsidRPr="006B3E08">
        <w:rPr>
          <w:sz w:val="20"/>
          <w:szCs w:val="20"/>
          <w:lang w:val="en-GB"/>
        </w:rPr>
        <w:t xml:space="preserve"> Shetty </w:t>
      </w:r>
      <w:r w:rsidR="00327829">
        <w:rPr>
          <w:sz w:val="20"/>
          <w:szCs w:val="20"/>
          <w:lang w:val="en-GB"/>
        </w:rPr>
        <w:t>equation (1)</w:t>
      </w:r>
      <w:r w:rsidR="00800A8B">
        <w:rPr>
          <w:sz w:val="20"/>
          <w:szCs w:val="20"/>
          <w:lang w:val="en-GB"/>
        </w:rPr>
        <w:t xml:space="preserve"> [11]</w:t>
      </w:r>
      <w:r w:rsidR="00C36CF8">
        <w:rPr>
          <w:sz w:val="20"/>
          <w:szCs w:val="20"/>
          <w:lang w:val="en-GB"/>
        </w:rPr>
        <w:t>.</w:t>
      </w:r>
    </w:p>
    <w:p w14:paraId="1034BD07" w14:textId="2F3A45B7" w:rsidR="009C3015" w:rsidRDefault="000828B7" w:rsidP="00491281">
      <w:pPr>
        <w:pStyle w:val="TTPAddress"/>
        <w:keepNext/>
        <w:spacing w:before="0" w:after="120"/>
      </w:pPr>
      <w:r>
        <w:rPr>
          <w:noProof/>
        </w:rPr>
        <w:drawing>
          <wp:inline distT="0" distB="0" distL="0" distR="0" wp14:anchorId="61117BF2" wp14:editId="72C29E27">
            <wp:extent cx="4950460" cy="2078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5F9B6" w14:textId="0F20C63F" w:rsidR="009C3015" w:rsidRPr="00491281" w:rsidRDefault="009C3015" w:rsidP="009C3015">
      <w:pPr>
        <w:pStyle w:val="Caption"/>
        <w:spacing w:after="0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</w:pPr>
      <w:r w:rsidRPr="006A63A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Fig. </w:t>
      </w:r>
      <w:r w:rsidRPr="00491281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6A63A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instrText xml:space="preserve"> SEQ Fig. \* ARABIC </w:instrText>
      </w:r>
      <w:r w:rsidRPr="00491281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Pr="006A63A9">
        <w:rPr>
          <w:rFonts w:ascii="Arial" w:hAnsi="Arial" w:cs="Arial"/>
          <w:i w:val="0"/>
          <w:iCs w:val="0"/>
          <w:noProof/>
          <w:color w:val="auto"/>
          <w:sz w:val="20"/>
          <w:szCs w:val="20"/>
          <w:lang w:val="en-US"/>
        </w:rPr>
        <w:t>1</w:t>
      </w:r>
      <w:r w:rsidRPr="00491281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006A63A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 </w:t>
      </w:r>
      <w:r w:rsidRPr="00491281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SEM images of Vickers’s indents observed on alloys annealed for 20h: </w:t>
      </w:r>
    </w:p>
    <w:p w14:paraId="29498AD8" w14:textId="77777777" w:rsidR="009C3015" w:rsidRPr="006A63A9" w:rsidRDefault="009C3015" w:rsidP="009C3015">
      <w:pPr>
        <w:spacing w:after="0" w:line="240" w:lineRule="auto"/>
        <w:rPr>
          <w:rFonts w:ascii="Arial" w:hAnsi="Arial" w:cs="Arial"/>
          <w:sz w:val="20"/>
          <w:szCs w:val="20"/>
          <w:lang w:val="en-US" w:eastAsia="pl-PL"/>
        </w:rPr>
      </w:pPr>
      <w:r w:rsidRPr="00491281">
        <w:rPr>
          <w:rFonts w:ascii="Arial" w:hAnsi="Arial" w:cs="Arial"/>
          <w:sz w:val="20"/>
          <w:szCs w:val="20"/>
          <w:lang w:val="en-US"/>
        </w:rPr>
        <w:t xml:space="preserve">a) TiCoCrFeMn indent made at 1,961N load; b) TiCoCrFeMn + 5 vol. </w:t>
      </w:r>
      <w:r w:rsidRPr="006A63A9">
        <w:rPr>
          <w:rFonts w:ascii="Arial" w:hAnsi="Arial" w:cs="Arial"/>
          <w:sz w:val="20"/>
          <w:szCs w:val="20"/>
          <w:lang w:val="en-US"/>
        </w:rPr>
        <w:t>% CuO indent made at 19,61N load</w:t>
      </w:r>
      <w:r w:rsidRPr="006A63A9">
        <w:rPr>
          <w:rFonts w:ascii="Arial" w:hAnsi="Arial" w:cs="Arial"/>
          <w:sz w:val="20"/>
          <w:szCs w:val="20"/>
          <w:lang w:val="en-US" w:eastAsia="pl-PL"/>
        </w:rPr>
        <w:t xml:space="preserve"> </w:t>
      </w:r>
    </w:p>
    <w:p w14:paraId="338D34E6" w14:textId="1776108A" w:rsidR="009C3015" w:rsidRPr="00C36CF8" w:rsidRDefault="009F6199" w:rsidP="009C3015">
      <w:pPr>
        <w:pStyle w:val="Caption"/>
        <w:jc w:val="center"/>
        <w:rPr>
          <w:rFonts w:ascii="Arial" w:eastAsiaTheme="minorEastAsia" w:hAnsi="Arial" w:cs="Arial"/>
          <w:i w:val="0"/>
          <w:iCs w:val="0"/>
          <w:color w:val="auto"/>
          <w:sz w:val="20"/>
          <w:szCs w:val="20"/>
          <w:lang w:val="en-GB"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ascii="Arial" w:hAnsi="Arial" w:cs="Arial"/>
              <w:i w:val="0"/>
              <w:iCs w:val="0"/>
              <w:color w:val="auto"/>
              <w:sz w:val="20"/>
              <w:szCs w:val="20"/>
              <w:lang w:val="en-GB"/>
            </w:rPr>
            <w:lastRenderedPageBreak/>
            <m:t>KIc=0,0937*</m:t>
          </m:r>
          <m:sSup>
            <m:sSupPr>
              <m:ctrlPr>
                <w:rPr>
                  <w:rFonts w:ascii="Cambria Math" w:hAnsi="Cambria Math" w:cs="Arial"/>
                  <w:iCs w:val="0"/>
                  <w:color w:val="auto"/>
                  <w:sz w:val="20"/>
                  <w:szCs w:val="20"/>
                  <w:lang w:val="en-GB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Cs w:val="0"/>
                      <w:color w:val="auto"/>
                      <w:sz w:val="20"/>
                      <w:szCs w:val="20"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Cs w:val="0"/>
                          <w:color w:val="auto"/>
                          <w:sz w:val="20"/>
                          <w:szCs w:val="20"/>
                          <w:lang w:val="en-GB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lang w:val="en-GB"/>
                        </w:rPr>
                        <m:t>H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  <w:lang w:val="en-GB"/>
                        </w:rPr>
                        <m:t>0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lang w:val="en-GB"/>
                        </w:rPr>
                        <m:t>(P-P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vertAlign w:val="subscript"/>
                          <w:lang w:val="en-GB"/>
                        </w:rPr>
                        <m:t>0</m:t>
                      </m:r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lang w:val="en-GB"/>
                        </w:rPr>
                        <m:t>)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0"/>
                          <w:szCs w:val="20"/>
                          <w:lang w:val="en-GB"/>
                        </w:rPr>
                        <m:t>4l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Arial"/>
                      <w:iCs w:val="0"/>
                      <w:color w:val="auto"/>
                      <w:sz w:val="20"/>
                      <w:szCs w:val="20"/>
                      <w:lang w:val="en-GB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 w:val="0"/>
                      <w:iCs w:val="0"/>
                      <w:color w:val="auto"/>
                      <w:sz w:val="20"/>
                      <w:szCs w:val="20"/>
                      <w:lang w:val="en-GB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 w:val="0"/>
                      <w:iCs w:val="0"/>
                      <w:color w:val="auto"/>
                      <w:sz w:val="20"/>
                      <w:szCs w:val="20"/>
                      <w:lang w:val="en-GB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Arial"/>
              <w:color w:val="auto"/>
              <w:sz w:val="20"/>
              <w:szCs w:val="20"/>
              <w:lang w:val="en-GB"/>
            </w:rPr>
            <m:t xml:space="preserve">                                                                           (1)</m:t>
          </m:r>
        </m:oMath>
      </m:oMathPara>
    </w:p>
    <w:p w14:paraId="53A92623" w14:textId="73B37E2F" w:rsidR="009F6199" w:rsidRPr="006A63A9" w:rsidRDefault="000F32E1" w:rsidP="004912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w</w:t>
      </w:r>
      <w:r w:rsidRPr="00491281">
        <w:rPr>
          <w:rFonts w:ascii="Arial" w:hAnsi="Arial" w:cs="Arial"/>
          <w:sz w:val="20"/>
          <w:szCs w:val="20"/>
          <w:lang w:val="en-GB"/>
        </w:rPr>
        <w:t>here</w:t>
      </w:r>
      <w:r w:rsidR="009F6199" w:rsidRPr="00491281">
        <w:rPr>
          <w:rFonts w:ascii="Arial" w:hAnsi="Arial" w:cs="Arial"/>
          <w:sz w:val="20"/>
          <w:szCs w:val="20"/>
          <w:lang w:val="en-GB"/>
        </w:rPr>
        <w:t xml:space="preserve">: </w:t>
      </w:r>
      <w:r w:rsidR="00704339" w:rsidRPr="00491281">
        <w:rPr>
          <w:rFonts w:ascii="Arial" w:hAnsi="Arial" w:cs="Arial"/>
          <w:sz w:val="20"/>
          <w:szCs w:val="20"/>
          <w:lang w:val="en-GB"/>
        </w:rPr>
        <w:t xml:space="preserve">P </w:t>
      </w:r>
      <w:r w:rsidR="00704339" w:rsidRPr="006A63A9">
        <w:rPr>
          <w:rFonts w:ascii="Arial" w:hAnsi="Arial" w:cs="Arial"/>
          <w:sz w:val="20"/>
          <w:szCs w:val="20"/>
          <w:lang w:val="en-US"/>
        </w:rPr>
        <w:t xml:space="preserve">is the load; </w:t>
      </w:r>
      <w:r w:rsidR="00704339" w:rsidRPr="00491281">
        <w:rPr>
          <w:rFonts w:ascii="Arial" w:hAnsi="Arial" w:cs="Arial"/>
          <w:sz w:val="20"/>
          <w:szCs w:val="20"/>
          <w:lang w:val="en-GB"/>
        </w:rPr>
        <w:t>P</w:t>
      </w:r>
      <w:r w:rsidR="00704339" w:rsidRPr="00491281">
        <w:rPr>
          <w:rFonts w:ascii="Arial" w:hAnsi="Arial" w:cs="Arial"/>
          <w:sz w:val="20"/>
          <w:szCs w:val="20"/>
          <w:vertAlign w:val="subscript"/>
          <w:lang w:val="en-GB"/>
        </w:rPr>
        <w:t>0</w:t>
      </w:r>
      <w:r w:rsidR="00704339" w:rsidRPr="00491281">
        <w:rPr>
          <w:rFonts w:ascii="Arial" w:hAnsi="Arial" w:cs="Arial"/>
          <w:sz w:val="20"/>
          <w:szCs w:val="20"/>
          <w:lang w:val="en-GB"/>
        </w:rPr>
        <w:t xml:space="preserve"> </w:t>
      </w:r>
      <w:r w:rsidR="00704339" w:rsidRPr="006A63A9">
        <w:rPr>
          <w:rFonts w:ascii="Arial" w:hAnsi="Arial" w:cs="Arial"/>
          <w:sz w:val="20"/>
          <w:szCs w:val="20"/>
          <w:lang w:val="en-US"/>
        </w:rPr>
        <w:t>is a threshold indentation load for cracking; H</w:t>
      </w:r>
      <w:r w:rsidR="00704339" w:rsidRPr="006A63A9">
        <w:rPr>
          <w:rFonts w:ascii="Arial" w:hAnsi="Arial" w:cs="Arial"/>
          <w:sz w:val="20"/>
          <w:szCs w:val="20"/>
          <w:vertAlign w:val="subscript"/>
          <w:lang w:val="en-US"/>
        </w:rPr>
        <w:t>0</w:t>
      </w:r>
      <w:r w:rsidR="00704339" w:rsidRPr="006A63A9">
        <w:rPr>
          <w:rFonts w:ascii="Arial" w:hAnsi="Arial" w:cs="Arial"/>
          <w:sz w:val="20"/>
          <w:szCs w:val="20"/>
          <w:lang w:val="en-US"/>
        </w:rPr>
        <w:t xml:space="preserve"> is the load-independent</w:t>
      </w:r>
      <w:r w:rsidR="00190E41">
        <w:rPr>
          <w:rFonts w:ascii="Arial" w:hAnsi="Arial" w:cs="Arial"/>
          <w:sz w:val="20"/>
          <w:szCs w:val="20"/>
          <w:lang w:val="en-US"/>
        </w:rPr>
        <w:t xml:space="preserve"> Vickers</w:t>
      </w:r>
      <w:r w:rsidR="00704339" w:rsidRPr="006A63A9">
        <w:rPr>
          <w:rFonts w:ascii="Arial" w:hAnsi="Arial" w:cs="Arial"/>
          <w:sz w:val="20"/>
          <w:szCs w:val="20"/>
          <w:lang w:val="en-US"/>
        </w:rPr>
        <w:t xml:space="preserve"> microhardness</w:t>
      </w:r>
      <w:r w:rsidR="00190E41">
        <w:rPr>
          <w:rFonts w:ascii="Arial" w:hAnsi="Arial" w:cs="Arial"/>
          <w:sz w:val="20"/>
          <w:szCs w:val="20"/>
          <w:lang w:val="en-US"/>
        </w:rPr>
        <w:t xml:space="preserve"> value</w:t>
      </w:r>
      <w:r w:rsidR="00C36CF8" w:rsidRPr="006A63A9">
        <w:rPr>
          <w:rFonts w:ascii="Arial" w:hAnsi="Arial" w:cs="Arial"/>
          <w:sz w:val="20"/>
          <w:szCs w:val="20"/>
          <w:lang w:val="en-US"/>
        </w:rPr>
        <w:t>; l is the average crack length.</w:t>
      </w:r>
    </w:p>
    <w:p w14:paraId="4CCA2155" w14:textId="47FCD5C6" w:rsidR="00327829" w:rsidRDefault="00F44134" w:rsidP="00327829">
      <w:pPr>
        <w:pStyle w:val="TTPAddress"/>
        <w:spacing w:before="0" w:after="120"/>
        <w:jc w:val="both"/>
        <w:rPr>
          <w:sz w:val="20"/>
          <w:szCs w:val="20"/>
          <w:lang w:val="en-GB"/>
        </w:rPr>
      </w:pPr>
      <w:r w:rsidRPr="00F44134">
        <w:rPr>
          <w:sz w:val="20"/>
          <w:szCs w:val="20"/>
          <w:lang w:val="en-GB"/>
        </w:rPr>
        <w:t xml:space="preserve">The phase structure of these alloys was designed based on the </w:t>
      </w:r>
      <w:r>
        <w:rPr>
          <w:sz w:val="20"/>
          <w:szCs w:val="20"/>
          <w:lang w:val="en-GB"/>
        </w:rPr>
        <w:t>Molecular Orbital Method (</w:t>
      </w:r>
      <w:r w:rsidRPr="00F44134">
        <w:rPr>
          <w:sz w:val="20"/>
          <w:szCs w:val="20"/>
          <w:lang w:val="en-GB"/>
        </w:rPr>
        <w:t xml:space="preserve">Bo Md </w:t>
      </w:r>
      <w:r w:rsidR="00807668">
        <w:rPr>
          <w:sz w:val="20"/>
          <w:szCs w:val="20"/>
          <w:lang w:val="en-GB"/>
        </w:rPr>
        <w:t>diagram</w:t>
      </w:r>
      <w:r>
        <w:rPr>
          <w:sz w:val="20"/>
          <w:szCs w:val="20"/>
          <w:lang w:val="en-GB"/>
        </w:rPr>
        <w:t>)</w:t>
      </w:r>
      <w:r w:rsidRPr="00F44134">
        <w:rPr>
          <w:sz w:val="20"/>
          <w:szCs w:val="20"/>
          <w:lang w:val="en-GB"/>
        </w:rPr>
        <w:t xml:space="preserve"> in accordance </w:t>
      </w:r>
      <w:r w:rsidR="0005398F">
        <w:rPr>
          <w:sz w:val="20"/>
          <w:szCs w:val="20"/>
          <w:lang w:val="en-GB"/>
        </w:rPr>
        <w:t>to</w:t>
      </w:r>
      <w:r w:rsidR="0005398F" w:rsidRPr="00F44134">
        <w:rPr>
          <w:sz w:val="20"/>
          <w:szCs w:val="20"/>
          <w:lang w:val="en-GB"/>
        </w:rPr>
        <w:t xml:space="preserve"> </w:t>
      </w:r>
      <w:r w:rsidRPr="00F44134">
        <w:rPr>
          <w:sz w:val="20"/>
          <w:szCs w:val="20"/>
          <w:lang w:val="en-GB"/>
        </w:rPr>
        <w:t>the literature reports</w:t>
      </w:r>
      <w:r>
        <w:rPr>
          <w:sz w:val="20"/>
          <w:szCs w:val="20"/>
          <w:lang w:val="en-GB"/>
        </w:rPr>
        <w:t xml:space="preserve"> [</w:t>
      </w:r>
      <w:r w:rsidR="009C1591">
        <w:rPr>
          <w:sz w:val="20"/>
          <w:szCs w:val="20"/>
          <w:lang w:val="en-GB"/>
        </w:rPr>
        <w:t>1</w:t>
      </w:r>
      <w:r w:rsidR="001D1AA3">
        <w:rPr>
          <w:sz w:val="20"/>
          <w:szCs w:val="20"/>
          <w:lang w:val="en-GB"/>
        </w:rPr>
        <w:t>2</w:t>
      </w:r>
      <w:r w:rsidR="009C1591">
        <w:rPr>
          <w:sz w:val="20"/>
          <w:szCs w:val="20"/>
          <w:lang w:val="en-GB"/>
        </w:rPr>
        <w:t>,1</w:t>
      </w:r>
      <w:r w:rsidR="001D1AA3">
        <w:rPr>
          <w:sz w:val="20"/>
          <w:szCs w:val="20"/>
          <w:lang w:val="en-GB"/>
        </w:rPr>
        <w:t>3</w:t>
      </w:r>
      <w:r>
        <w:rPr>
          <w:sz w:val="20"/>
          <w:szCs w:val="20"/>
          <w:lang w:val="en-GB"/>
        </w:rPr>
        <w:t>].</w:t>
      </w:r>
      <w:r w:rsidR="0005398F">
        <w:rPr>
          <w:sz w:val="20"/>
          <w:szCs w:val="20"/>
          <w:lang w:val="en-GB"/>
        </w:rPr>
        <w:t xml:space="preserve"> In order t</w:t>
      </w:r>
      <w:r w:rsidR="004D105A">
        <w:rPr>
          <w:sz w:val="20"/>
          <w:szCs w:val="20"/>
          <w:lang w:val="en-GB"/>
        </w:rPr>
        <w:t xml:space="preserve">o </w:t>
      </w:r>
      <w:r w:rsidR="0005398F">
        <w:rPr>
          <w:sz w:val="20"/>
          <w:szCs w:val="20"/>
          <w:lang w:val="en-GB"/>
        </w:rPr>
        <w:t xml:space="preserve">assess </w:t>
      </w:r>
      <w:r w:rsidR="004D105A">
        <w:rPr>
          <w:sz w:val="20"/>
          <w:szCs w:val="20"/>
          <w:lang w:val="en-GB"/>
        </w:rPr>
        <w:t xml:space="preserve">the effect of </w:t>
      </w:r>
      <w:r w:rsidR="0005398F">
        <w:rPr>
          <w:sz w:val="20"/>
          <w:szCs w:val="20"/>
          <w:lang w:val="en-GB"/>
        </w:rPr>
        <w:t xml:space="preserve">the oxides </w:t>
      </w:r>
      <w:r w:rsidR="004D105A">
        <w:rPr>
          <w:sz w:val="20"/>
          <w:szCs w:val="20"/>
          <w:lang w:val="en-GB"/>
        </w:rPr>
        <w:t xml:space="preserve">strengthening </w:t>
      </w:r>
      <w:r w:rsidR="0005398F">
        <w:rPr>
          <w:sz w:val="20"/>
          <w:szCs w:val="20"/>
          <w:lang w:val="en-GB"/>
        </w:rPr>
        <w:t>on material fracture toughness</w:t>
      </w:r>
      <w:r w:rsidR="004D105A">
        <w:rPr>
          <w:sz w:val="20"/>
          <w:szCs w:val="20"/>
          <w:lang w:val="en-GB"/>
        </w:rPr>
        <w:t>, CuO was introduced into the powder mixture</w:t>
      </w:r>
      <w:r w:rsidR="0005398F">
        <w:rPr>
          <w:sz w:val="20"/>
          <w:szCs w:val="20"/>
          <w:lang w:val="en-GB"/>
        </w:rPr>
        <w:t>.</w:t>
      </w:r>
      <w:r w:rsidR="008106C1">
        <w:rPr>
          <w:sz w:val="20"/>
          <w:szCs w:val="20"/>
          <w:lang w:val="en-GB"/>
        </w:rPr>
        <w:t xml:space="preserve"> </w:t>
      </w:r>
      <w:r w:rsidR="0005398F">
        <w:rPr>
          <w:sz w:val="20"/>
          <w:szCs w:val="20"/>
          <w:lang w:val="en-GB"/>
        </w:rPr>
        <w:t xml:space="preserve">The subsequent </w:t>
      </w:r>
      <w:r w:rsidR="004D105A">
        <w:rPr>
          <w:sz w:val="20"/>
          <w:szCs w:val="20"/>
          <w:lang w:val="en-GB"/>
        </w:rPr>
        <w:t xml:space="preserve">decomposition </w:t>
      </w:r>
      <w:r w:rsidR="0005398F">
        <w:rPr>
          <w:sz w:val="20"/>
          <w:szCs w:val="20"/>
          <w:lang w:val="en-GB"/>
        </w:rPr>
        <w:t xml:space="preserve">of </w:t>
      </w:r>
      <w:r w:rsidR="0005398F" w:rsidRPr="0005398F">
        <w:rPr>
          <w:sz w:val="20"/>
          <w:szCs w:val="20"/>
          <w:lang w:val="en-GB"/>
        </w:rPr>
        <w:t>CuO</w:t>
      </w:r>
      <w:r w:rsidR="0005398F">
        <w:rPr>
          <w:sz w:val="20"/>
          <w:szCs w:val="20"/>
          <w:lang w:val="en-GB"/>
        </w:rPr>
        <w:t xml:space="preserve"> during sintering process led to the formation of TiO</w:t>
      </w:r>
      <w:r w:rsidR="0005398F" w:rsidRPr="00491281">
        <w:rPr>
          <w:sz w:val="20"/>
          <w:szCs w:val="20"/>
          <w:vertAlign w:val="subscript"/>
          <w:lang w:val="en-GB"/>
        </w:rPr>
        <w:t>2</w:t>
      </w:r>
      <w:r w:rsidR="0005398F">
        <w:rPr>
          <w:sz w:val="20"/>
          <w:szCs w:val="20"/>
          <w:lang w:val="en-GB"/>
        </w:rPr>
        <w:t xml:space="preserve"> which </w:t>
      </w:r>
      <w:r w:rsidR="004D105A">
        <w:rPr>
          <w:sz w:val="20"/>
          <w:szCs w:val="20"/>
          <w:lang w:val="en-GB"/>
        </w:rPr>
        <w:t xml:space="preserve">was evenly distributed </w:t>
      </w:r>
      <w:r w:rsidR="0005398F">
        <w:rPr>
          <w:sz w:val="20"/>
          <w:szCs w:val="20"/>
          <w:lang w:val="en-GB"/>
        </w:rPr>
        <w:t xml:space="preserve">on </w:t>
      </w:r>
      <w:r w:rsidR="004D105A">
        <w:rPr>
          <w:sz w:val="20"/>
          <w:szCs w:val="20"/>
          <w:lang w:val="en-GB"/>
        </w:rPr>
        <w:t xml:space="preserve">the </w:t>
      </w:r>
      <w:r w:rsidR="0005398F">
        <w:rPr>
          <w:sz w:val="20"/>
          <w:szCs w:val="20"/>
          <w:lang w:val="en-GB"/>
        </w:rPr>
        <w:t xml:space="preserve">grain </w:t>
      </w:r>
      <w:r w:rsidR="004D105A">
        <w:rPr>
          <w:sz w:val="20"/>
          <w:szCs w:val="20"/>
          <w:lang w:val="en-GB"/>
        </w:rPr>
        <w:t>boundaries.</w:t>
      </w:r>
      <w:r w:rsidR="00665583">
        <w:rPr>
          <w:sz w:val="20"/>
          <w:szCs w:val="20"/>
          <w:lang w:val="en-GB"/>
        </w:rPr>
        <w:t xml:space="preserve"> </w:t>
      </w:r>
      <w:r w:rsidR="00327829">
        <w:rPr>
          <w:sz w:val="20"/>
          <w:szCs w:val="20"/>
          <w:lang w:val="en-GB"/>
        </w:rPr>
        <w:t xml:space="preserve">This phase effectively improved the fracture toughness of materials in question resulting in its subsequent increase of </w:t>
      </w:r>
      <w:r w:rsidR="00800A8B">
        <w:rPr>
          <w:sz w:val="20"/>
          <w:szCs w:val="20"/>
          <w:lang w:val="en-GB"/>
        </w:rPr>
        <w:t xml:space="preserve">15 </w:t>
      </w:r>
      <w:r w:rsidR="00327829">
        <w:rPr>
          <w:sz w:val="20"/>
          <w:szCs w:val="20"/>
          <w:lang w:val="en-GB"/>
        </w:rPr>
        <w:t>% after long term annealing.</w:t>
      </w:r>
    </w:p>
    <w:p w14:paraId="2FFE888E" w14:textId="7A4ECBB6" w:rsidR="001C3AEA" w:rsidRPr="00491281" w:rsidRDefault="008106C1" w:rsidP="000828B7">
      <w:pPr>
        <w:pStyle w:val="TTPAddress"/>
        <w:spacing w:before="0" w:after="120"/>
        <w:rPr>
          <w:i/>
          <w:iCs/>
          <w:sz w:val="20"/>
          <w:szCs w:val="20"/>
        </w:rPr>
      </w:pPr>
      <w:r>
        <w:rPr>
          <w:noProof/>
          <w:sz w:val="20"/>
          <w:szCs w:val="20"/>
          <w:lang w:val="en-GB"/>
        </w:rPr>
        <w:drawing>
          <wp:inline distT="0" distB="0" distL="0" distR="0" wp14:anchorId="43D7BD2B" wp14:editId="18220CD4">
            <wp:extent cx="3333750" cy="2797752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60" cy="281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7829">
        <w:rPr>
          <w:sz w:val="20"/>
          <w:szCs w:val="20"/>
          <w:lang w:val="en-GB"/>
        </w:rPr>
        <w:br/>
      </w:r>
      <w:r w:rsidR="001C3AEA" w:rsidRPr="008877CE">
        <w:rPr>
          <w:sz w:val="20"/>
          <w:szCs w:val="20"/>
        </w:rPr>
        <w:t xml:space="preserve">Fig. </w:t>
      </w:r>
      <w:r w:rsidR="001C3AEA" w:rsidRPr="008C5D61">
        <w:rPr>
          <w:i/>
          <w:iCs/>
          <w:sz w:val="20"/>
          <w:szCs w:val="20"/>
        </w:rPr>
        <w:fldChar w:fldCharType="begin"/>
      </w:r>
      <w:r w:rsidR="001C3AEA" w:rsidRPr="008877CE">
        <w:rPr>
          <w:sz w:val="20"/>
          <w:szCs w:val="20"/>
        </w:rPr>
        <w:instrText xml:space="preserve"> SEQ Fig. \* ARABIC </w:instrText>
      </w:r>
      <w:r w:rsidR="001C3AEA" w:rsidRPr="008C5D61">
        <w:rPr>
          <w:i/>
          <w:iCs/>
          <w:sz w:val="20"/>
          <w:szCs w:val="20"/>
        </w:rPr>
        <w:fldChar w:fldCharType="separate"/>
      </w:r>
      <w:r w:rsidR="001C3AEA" w:rsidRPr="008877CE">
        <w:rPr>
          <w:noProof/>
          <w:sz w:val="20"/>
          <w:szCs w:val="20"/>
        </w:rPr>
        <w:t>2</w:t>
      </w:r>
      <w:r w:rsidR="001C3AEA" w:rsidRPr="008C5D61">
        <w:rPr>
          <w:i/>
          <w:iCs/>
          <w:sz w:val="20"/>
          <w:szCs w:val="20"/>
        </w:rPr>
        <w:fldChar w:fldCharType="end"/>
      </w:r>
      <w:r w:rsidR="001C3AEA" w:rsidRPr="008877CE">
        <w:rPr>
          <w:sz w:val="20"/>
          <w:szCs w:val="20"/>
        </w:rPr>
        <w:t xml:space="preserve"> </w:t>
      </w:r>
      <w:r w:rsidR="00B97BB0">
        <w:rPr>
          <w:sz w:val="20"/>
          <w:szCs w:val="20"/>
        </w:rPr>
        <w:t>F</w:t>
      </w:r>
      <w:r w:rsidR="001C3AEA" w:rsidRPr="008877CE">
        <w:rPr>
          <w:sz w:val="20"/>
          <w:szCs w:val="20"/>
        </w:rPr>
        <w:t xml:space="preserve">racture toughness </w:t>
      </w:r>
      <w:r w:rsidR="00327829">
        <w:rPr>
          <w:sz w:val="20"/>
          <w:szCs w:val="20"/>
        </w:rPr>
        <w:t xml:space="preserve">/ </w:t>
      </w:r>
      <w:r w:rsidR="001C3AEA" w:rsidRPr="008877CE">
        <w:rPr>
          <w:sz w:val="20"/>
          <w:szCs w:val="20"/>
        </w:rPr>
        <w:t xml:space="preserve">homogenization time </w:t>
      </w:r>
      <w:r w:rsidR="00B97BB0">
        <w:rPr>
          <w:sz w:val="20"/>
          <w:szCs w:val="20"/>
        </w:rPr>
        <w:t>d</w:t>
      </w:r>
      <w:r w:rsidR="00B97BB0" w:rsidRPr="008877CE">
        <w:rPr>
          <w:sz w:val="20"/>
          <w:szCs w:val="20"/>
        </w:rPr>
        <w:t xml:space="preserve">ependence </w:t>
      </w:r>
      <w:r w:rsidR="001C3AEA" w:rsidRPr="008877CE">
        <w:rPr>
          <w:sz w:val="20"/>
          <w:szCs w:val="20"/>
        </w:rPr>
        <w:t xml:space="preserve">for TiCoCrFeMn and TiCoCrFeMn + 5 vol. </w:t>
      </w:r>
      <w:r w:rsidR="001C3AEA" w:rsidRPr="00491281">
        <w:rPr>
          <w:sz w:val="20"/>
          <w:szCs w:val="20"/>
        </w:rPr>
        <w:t>% CuO alloys</w:t>
      </w:r>
      <w:r w:rsidR="001D1AA3">
        <w:rPr>
          <w:sz w:val="20"/>
          <w:szCs w:val="20"/>
        </w:rPr>
        <w:t>.</w:t>
      </w:r>
    </w:p>
    <w:p w14:paraId="5DE74B53" w14:textId="49A1DAC8" w:rsidR="008877CE" w:rsidRDefault="00A47D7B" w:rsidP="00800A8B">
      <w:pPr>
        <w:pStyle w:val="TTPAddress"/>
        <w:spacing w:before="0"/>
        <w:jc w:val="both"/>
        <w:rPr>
          <w:sz w:val="20"/>
          <w:szCs w:val="20"/>
          <w:lang w:val="en-GB"/>
        </w:rPr>
      </w:pPr>
      <w:r w:rsidRPr="00491281">
        <w:rPr>
          <w:b/>
          <w:sz w:val="20"/>
          <w:szCs w:val="20"/>
          <w:lang w:val="en-GB"/>
        </w:rPr>
        <w:t>Conclusions</w:t>
      </w:r>
      <w:r w:rsidRPr="00491281">
        <w:rPr>
          <w:b/>
          <w:sz w:val="20"/>
          <w:szCs w:val="20"/>
          <w:lang w:val="en-GB"/>
        </w:rPr>
        <w:br/>
      </w:r>
      <w:r w:rsidR="004C470E" w:rsidRPr="00E55BF4">
        <w:rPr>
          <w:sz w:val="20"/>
          <w:szCs w:val="20"/>
          <w:lang w:val="en-GB"/>
        </w:rPr>
        <w:t xml:space="preserve">The </w:t>
      </w:r>
      <w:r w:rsidR="00190E41" w:rsidRPr="00E55BF4">
        <w:rPr>
          <w:sz w:val="20"/>
          <w:szCs w:val="20"/>
          <w:lang w:val="en-GB"/>
        </w:rPr>
        <w:t>annealed materials exhibit</w:t>
      </w:r>
      <w:r w:rsidR="000F32E1">
        <w:rPr>
          <w:sz w:val="20"/>
          <w:szCs w:val="20"/>
          <w:lang w:val="en-GB"/>
        </w:rPr>
        <w:t>ed</w:t>
      </w:r>
      <w:r w:rsidR="004C470E" w:rsidRPr="00E55BF4">
        <w:rPr>
          <w:sz w:val="20"/>
          <w:szCs w:val="20"/>
          <w:lang w:val="en-GB"/>
        </w:rPr>
        <w:t xml:space="preserve"> about 15% increase </w:t>
      </w:r>
      <w:r w:rsidR="00190E41" w:rsidRPr="00E55BF4">
        <w:rPr>
          <w:sz w:val="20"/>
          <w:szCs w:val="20"/>
          <w:lang w:val="en-GB"/>
        </w:rPr>
        <w:t xml:space="preserve">of </w:t>
      </w:r>
      <w:r w:rsidR="004C470E" w:rsidRPr="00E55BF4">
        <w:rPr>
          <w:sz w:val="20"/>
          <w:szCs w:val="20"/>
          <w:lang w:val="en-GB"/>
        </w:rPr>
        <w:t>the fract</w:t>
      </w:r>
      <w:r w:rsidR="00E641FF" w:rsidRPr="00E55BF4">
        <w:rPr>
          <w:sz w:val="20"/>
          <w:szCs w:val="20"/>
          <w:lang w:val="en-GB"/>
        </w:rPr>
        <w:t>ure toughness factor</w:t>
      </w:r>
      <w:r w:rsidR="00190E41" w:rsidRPr="00E55BF4">
        <w:rPr>
          <w:sz w:val="20"/>
          <w:szCs w:val="20"/>
          <w:lang w:val="en-GB"/>
        </w:rPr>
        <w:t xml:space="preserve">. </w:t>
      </w:r>
      <w:r w:rsidR="00486EB2">
        <w:rPr>
          <w:sz w:val="20"/>
          <w:szCs w:val="20"/>
          <w:lang w:val="en-GB"/>
        </w:rPr>
        <w:t>It was found, that t</w:t>
      </w:r>
      <w:r w:rsidR="00190E41" w:rsidRPr="00E55BF4">
        <w:rPr>
          <w:sz w:val="20"/>
          <w:szCs w:val="20"/>
          <w:lang w:val="en-GB"/>
        </w:rPr>
        <w:t>he newly formed TiO</w:t>
      </w:r>
      <w:r w:rsidR="00190E41" w:rsidRPr="00E55BF4">
        <w:rPr>
          <w:sz w:val="20"/>
          <w:szCs w:val="20"/>
          <w:vertAlign w:val="subscript"/>
          <w:lang w:val="en-GB"/>
        </w:rPr>
        <w:t xml:space="preserve">2 </w:t>
      </w:r>
      <w:r w:rsidR="00190E41" w:rsidRPr="00E55BF4">
        <w:rPr>
          <w:sz w:val="20"/>
          <w:szCs w:val="20"/>
          <w:lang w:val="en-GB"/>
        </w:rPr>
        <w:t>phase could effectively</w:t>
      </w:r>
      <w:r w:rsidR="00E641FF" w:rsidRPr="00E55BF4">
        <w:rPr>
          <w:sz w:val="20"/>
          <w:szCs w:val="20"/>
          <w:lang w:val="en-GB"/>
        </w:rPr>
        <w:t xml:space="preserve"> </w:t>
      </w:r>
      <w:r w:rsidR="00190E41" w:rsidRPr="00E55BF4">
        <w:rPr>
          <w:sz w:val="20"/>
          <w:szCs w:val="20"/>
          <w:lang w:val="en-GB"/>
        </w:rPr>
        <w:t>prevent the crack propagation</w:t>
      </w:r>
      <w:r w:rsidR="00486EB2">
        <w:rPr>
          <w:sz w:val="20"/>
          <w:szCs w:val="20"/>
          <w:lang w:val="en-GB"/>
        </w:rPr>
        <w:t xml:space="preserve"> of high  entropy alloys and thus improve their mechanical properties</w:t>
      </w:r>
      <w:r w:rsidR="001234E5" w:rsidRPr="00E55BF4">
        <w:rPr>
          <w:sz w:val="20"/>
          <w:szCs w:val="20"/>
          <w:lang w:val="en-GB"/>
        </w:rPr>
        <w:t>.</w:t>
      </w:r>
      <w:r w:rsidR="00E641FF" w:rsidRPr="00A47D7B">
        <w:rPr>
          <w:sz w:val="20"/>
          <w:szCs w:val="20"/>
          <w:lang w:val="en-GB"/>
        </w:rPr>
        <w:t xml:space="preserve"> </w:t>
      </w:r>
    </w:p>
    <w:p w14:paraId="3EFD211B" w14:textId="77777777" w:rsidR="00800A8B" w:rsidRPr="00800A8B" w:rsidRDefault="00800A8B" w:rsidP="00800A8B">
      <w:pPr>
        <w:pStyle w:val="TTPAddress"/>
        <w:spacing w:before="0"/>
        <w:jc w:val="both"/>
        <w:rPr>
          <w:sz w:val="20"/>
          <w:szCs w:val="20"/>
          <w:lang w:val="en-GB"/>
        </w:rPr>
      </w:pPr>
    </w:p>
    <w:p w14:paraId="478F4A87" w14:textId="54FBE0AE" w:rsidR="00135A29" w:rsidRPr="00B421EA" w:rsidRDefault="00B421EA" w:rsidP="00135A29">
      <w:pPr>
        <w:pStyle w:val="TTPAddress"/>
        <w:spacing w:before="0" w:after="120" w:line="360" w:lineRule="auto"/>
        <w:jc w:val="left"/>
        <w:rPr>
          <w:b/>
          <w:bCs/>
          <w:sz w:val="20"/>
          <w:szCs w:val="20"/>
          <w:lang w:val="en-GB"/>
        </w:rPr>
      </w:pPr>
      <w:r w:rsidRPr="00B421EA">
        <w:rPr>
          <w:b/>
          <w:bCs/>
          <w:sz w:val="20"/>
          <w:szCs w:val="20"/>
          <w:lang w:val="en-GB"/>
        </w:rPr>
        <w:t>References</w:t>
      </w:r>
    </w:p>
    <w:p w14:paraId="2E9DDCDD" w14:textId="45D88251" w:rsidR="00B421EA" w:rsidRDefault="00076642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 w:rsidRPr="00AA38E6">
        <w:rPr>
          <w:sz w:val="16"/>
          <w:szCs w:val="16"/>
          <w:lang w:val="en-GB"/>
        </w:rPr>
        <w:t xml:space="preserve">[1] </w:t>
      </w:r>
      <w:r w:rsidR="00135A29">
        <w:rPr>
          <w:sz w:val="16"/>
          <w:szCs w:val="16"/>
          <w:lang w:val="en-GB"/>
        </w:rPr>
        <w:tab/>
      </w:r>
      <w:r w:rsidRPr="00AA38E6">
        <w:rPr>
          <w:sz w:val="16"/>
          <w:szCs w:val="16"/>
          <w:lang w:val="en-GB"/>
        </w:rPr>
        <w:t xml:space="preserve">M. H. Tsai, R. C. Tsai, T. Chang i W. F. Huang, </w:t>
      </w:r>
      <w:r w:rsidRPr="00AA38E6">
        <w:rPr>
          <w:i/>
          <w:iCs/>
          <w:sz w:val="16"/>
          <w:szCs w:val="16"/>
        </w:rPr>
        <w:t>Intermetallic Phases in High-Entropy Alloys: Statistical Analysis of their Prevalence and Structural Inheritance</w:t>
      </w:r>
      <w:r w:rsidRPr="00AA38E6">
        <w:rPr>
          <w:sz w:val="16"/>
          <w:szCs w:val="16"/>
          <w:lang w:val="en-GB"/>
        </w:rPr>
        <w:t>, Metals</w:t>
      </w:r>
      <w:r w:rsidR="00AA38E6">
        <w:rPr>
          <w:sz w:val="16"/>
          <w:szCs w:val="16"/>
          <w:lang w:val="en-GB"/>
        </w:rPr>
        <w:t>,</w:t>
      </w:r>
      <w:r w:rsidRPr="00AA38E6">
        <w:rPr>
          <w:sz w:val="16"/>
          <w:szCs w:val="16"/>
          <w:lang w:val="en-GB"/>
        </w:rPr>
        <w:t xml:space="preserve"> </w:t>
      </w:r>
      <w:r w:rsidR="00AA38E6">
        <w:rPr>
          <w:sz w:val="16"/>
          <w:szCs w:val="16"/>
          <w:lang w:val="en-GB"/>
        </w:rPr>
        <w:t>9 (</w:t>
      </w:r>
      <w:r w:rsidRPr="00AA38E6">
        <w:rPr>
          <w:sz w:val="16"/>
          <w:szCs w:val="16"/>
          <w:lang w:val="en-GB"/>
        </w:rPr>
        <w:t>2019</w:t>
      </w:r>
      <w:r w:rsidR="00AA38E6">
        <w:rPr>
          <w:sz w:val="16"/>
          <w:szCs w:val="16"/>
          <w:lang w:val="en-GB"/>
        </w:rPr>
        <w:t>), 1-18</w:t>
      </w:r>
    </w:p>
    <w:p w14:paraId="299EB098" w14:textId="68E58403" w:rsidR="00AA38E6" w:rsidRDefault="00AA38E6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[2] </w:t>
      </w:r>
      <w:r w:rsidR="00135A29">
        <w:rPr>
          <w:sz w:val="16"/>
          <w:szCs w:val="16"/>
          <w:lang w:val="en-GB"/>
        </w:rPr>
        <w:tab/>
      </w:r>
      <w:r w:rsidRPr="00AA38E6">
        <w:rPr>
          <w:sz w:val="16"/>
          <w:szCs w:val="16"/>
          <w:lang w:val="en-GB"/>
        </w:rPr>
        <w:t xml:space="preserve">G. Qin, Z. Li, R. Chen, H. Zheng, C. Fan, L. Wang, Y. Su, H. Ding, J. Guo i H. Fu, </w:t>
      </w:r>
      <w:r w:rsidRPr="00AA38E6">
        <w:rPr>
          <w:i/>
          <w:iCs/>
          <w:sz w:val="16"/>
          <w:szCs w:val="16"/>
          <w:lang w:val="en-GB"/>
        </w:rPr>
        <w:t>CocrFemnNi high-entropy alloys reinforced with Laves phase by adding Nb and Ti elements</w:t>
      </w:r>
      <w:r w:rsidRPr="00AA38E6">
        <w:rPr>
          <w:sz w:val="16"/>
          <w:szCs w:val="16"/>
          <w:lang w:val="en-GB"/>
        </w:rPr>
        <w:t>, Journal of Materials Research</w:t>
      </w:r>
      <w:r>
        <w:rPr>
          <w:sz w:val="16"/>
          <w:szCs w:val="16"/>
          <w:lang w:val="en-GB"/>
        </w:rPr>
        <w:t xml:space="preserve"> (</w:t>
      </w:r>
      <w:r w:rsidRPr="00AA38E6">
        <w:rPr>
          <w:sz w:val="16"/>
          <w:szCs w:val="16"/>
          <w:lang w:val="en-GB"/>
        </w:rPr>
        <w:t>2019</w:t>
      </w:r>
      <w:r>
        <w:rPr>
          <w:sz w:val="16"/>
          <w:szCs w:val="16"/>
          <w:lang w:val="en-GB"/>
        </w:rPr>
        <w:t>), 1-10</w:t>
      </w:r>
    </w:p>
    <w:p w14:paraId="586B6272" w14:textId="48065F59" w:rsidR="00AA38E6" w:rsidRDefault="00AA38E6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[3]</w:t>
      </w:r>
      <w:r w:rsidR="00135A29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 xml:space="preserve"> </w:t>
      </w:r>
      <w:r w:rsidRPr="00AA38E6">
        <w:rPr>
          <w:sz w:val="16"/>
          <w:szCs w:val="16"/>
          <w:lang w:val="en-GB"/>
        </w:rPr>
        <w:t xml:space="preserve">S. S. Mishra, T. P. Yadav, O. N. Srivastava, N. K. Mukhopadhyay i K. Biswas, </w:t>
      </w:r>
      <w:r w:rsidRPr="00AA38E6">
        <w:rPr>
          <w:i/>
          <w:iCs/>
          <w:sz w:val="16"/>
          <w:szCs w:val="16"/>
          <w:lang w:val="en-GB"/>
        </w:rPr>
        <w:t>Formation and stability of C14 type Laves phase in multi component high-entropy alloys</w:t>
      </w:r>
      <w:r w:rsidRPr="00AA38E6">
        <w:rPr>
          <w:sz w:val="16"/>
          <w:szCs w:val="16"/>
          <w:lang w:val="en-GB"/>
        </w:rPr>
        <w:t xml:space="preserve">, Journal of Alloys and Compounds, </w:t>
      </w:r>
      <w:r w:rsidR="00DF775B">
        <w:rPr>
          <w:sz w:val="16"/>
          <w:szCs w:val="16"/>
          <w:lang w:val="en-GB"/>
        </w:rPr>
        <w:t>832 (</w:t>
      </w:r>
      <w:r w:rsidRPr="00AA38E6">
        <w:rPr>
          <w:sz w:val="16"/>
          <w:szCs w:val="16"/>
          <w:lang w:val="en-GB"/>
        </w:rPr>
        <w:t>2020</w:t>
      </w:r>
      <w:r w:rsidR="00DF775B">
        <w:rPr>
          <w:sz w:val="16"/>
          <w:szCs w:val="16"/>
          <w:lang w:val="en-GB"/>
        </w:rPr>
        <w:t>), 1-7</w:t>
      </w:r>
      <w:r w:rsidRPr="00AA38E6">
        <w:rPr>
          <w:sz w:val="16"/>
          <w:szCs w:val="16"/>
          <w:lang w:val="en-GB"/>
        </w:rPr>
        <w:t>.</w:t>
      </w:r>
    </w:p>
    <w:p w14:paraId="60FE69A5" w14:textId="3784C7A1" w:rsidR="00DF775B" w:rsidRDefault="00DF775B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[4] </w:t>
      </w:r>
      <w:r w:rsidR="00135A29">
        <w:rPr>
          <w:sz w:val="16"/>
          <w:szCs w:val="16"/>
          <w:lang w:val="en-GB"/>
        </w:rPr>
        <w:tab/>
      </w:r>
      <w:r w:rsidRPr="00DF775B">
        <w:rPr>
          <w:sz w:val="16"/>
          <w:szCs w:val="16"/>
          <w:lang w:val="en-GB"/>
        </w:rPr>
        <w:t xml:space="preserve">N. Yurchenko, N. Stepanov i G. Salishchev, </w:t>
      </w:r>
      <w:r w:rsidRPr="00DF775B">
        <w:rPr>
          <w:i/>
          <w:iCs/>
          <w:sz w:val="16"/>
          <w:szCs w:val="16"/>
          <w:lang w:val="en-GB"/>
        </w:rPr>
        <w:t>Laves-phase formation criterion for high-entropy alloys</w:t>
      </w:r>
      <w:r w:rsidRPr="00DF775B">
        <w:rPr>
          <w:sz w:val="16"/>
          <w:szCs w:val="16"/>
          <w:lang w:val="en-GB"/>
        </w:rPr>
        <w:t>, Materials Science and technology</w:t>
      </w:r>
      <w:r>
        <w:rPr>
          <w:sz w:val="16"/>
          <w:szCs w:val="16"/>
          <w:lang w:val="en-GB"/>
        </w:rPr>
        <w:t>, 33 (2017)</w:t>
      </w:r>
      <w:r w:rsidRPr="00DF775B">
        <w:rPr>
          <w:sz w:val="16"/>
          <w:szCs w:val="16"/>
          <w:lang w:val="en-GB"/>
        </w:rPr>
        <w:t>, 17-22</w:t>
      </w:r>
      <w:r>
        <w:rPr>
          <w:sz w:val="16"/>
          <w:szCs w:val="16"/>
          <w:lang w:val="en-GB"/>
        </w:rPr>
        <w:t>.</w:t>
      </w:r>
    </w:p>
    <w:p w14:paraId="104DEDEC" w14:textId="7BEB2D59" w:rsidR="00DF775B" w:rsidRDefault="00DF775B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[5] </w:t>
      </w:r>
      <w:r w:rsidR="00135A29">
        <w:rPr>
          <w:sz w:val="16"/>
          <w:szCs w:val="16"/>
          <w:lang w:val="en-GB"/>
        </w:rPr>
        <w:tab/>
      </w:r>
      <w:r w:rsidRPr="00DF775B">
        <w:rPr>
          <w:sz w:val="16"/>
          <w:szCs w:val="16"/>
          <w:lang w:val="en-GB"/>
        </w:rPr>
        <w:t>P.J. Barron, A.W. Carruthers, J.W. Fellowes, N.G. Jones, H. Dawson, E.J. Pickering</w:t>
      </w:r>
      <w:r>
        <w:rPr>
          <w:sz w:val="16"/>
          <w:szCs w:val="16"/>
          <w:lang w:val="en-GB"/>
        </w:rPr>
        <w:t xml:space="preserve">, </w:t>
      </w:r>
      <w:r w:rsidRPr="00DF775B">
        <w:rPr>
          <w:i/>
          <w:iCs/>
          <w:sz w:val="16"/>
          <w:szCs w:val="16"/>
          <w:lang w:val="en-GB"/>
        </w:rPr>
        <w:t>Towards V-based high-entropy alloys for nuclear fusion applications</w:t>
      </w:r>
      <w:r>
        <w:rPr>
          <w:i/>
          <w:iCs/>
          <w:sz w:val="16"/>
          <w:szCs w:val="16"/>
          <w:lang w:val="en-GB"/>
        </w:rPr>
        <w:t xml:space="preserve">, </w:t>
      </w:r>
      <w:r w:rsidRPr="00DF775B">
        <w:rPr>
          <w:sz w:val="16"/>
          <w:szCs w:val="16"/>
          <w:lang w:val="en-GB"/>
        </w:rPr>
        <w:t>Scripta Materialia</w:t>
      </w:r>
      <w:r>
        <w:rPr>
          <w:sz w:val="16"/>
          <w:szCs w:val="16"/>
          <w:lang w:val="en-GB"/>
        </w:rPr>
        <w:t>,</w:t>
      </w:r>
      <w:r w:rsidRPr="00DF775B">
        <w:rPr>
          <w:sz w:val="16"/>
          <w:szCs w:val="16"/>
          <w:lang w:val="en-GB"/>
        </w:rPr>
        <w:t xml:space="preserve"> 176 (2020), 12-16</w:t>
      </w:r>
    </w:p>
    <w:p w14:paraId="2914D285" w14:textId="0837A293" w:rsidR="00DF775B" w:rsidRPr="00B001F5" w:rsidRDefault="00DF775B" w:rsidP="00135A29">
      <w:pPr>
        <w:pStyle w:val="TTPAddress"/>
        <w:spacing w:before="0"/>
        <w:ind w:left="426" w:hanging="426"/>
        <w:jc w:val="both"/>
        <w:rPr>
          <w:i/>
          <w:iCs/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[6] </w:t>
      </w:r>
      <w:r w:rsidR="00135A29">
        <w:rPr>
          <w:sz w:val="16"/>
          <w:szCs w:val="16"/>
          <w:lang w:val="en-GB"/>
        </w:rPr>
        <w:tab/>
      </w:r>
      <w:r w:rsidR="00B001F5">
        <w:rPr>
          <w:sz w:val="16"/>
          <w:szCs w:val="16"/>
          <w:lang w:val="en-GB"/>
        </w:rPr>
        <w:t xml:space="preserve">E. </w:t>
      </w:r>
      <w:r w:rsidRPr="00DF775B">
        <w:rPr>
          <w:sz w:val="16"/>
          <w:szCs w:val="16"/>
          <w:lang w:val="en-GB"/>
        </w:rPr>
        <w:t xml:space="preserve">Pickering, </w:t>
      </w:r>
      <w:r w:rsidR="00B001F5">
        <w:rPr>
          <w:sz w:val="16"/>
          <w:szCs w:val="16"/>
          <w:lang w:val="en-GB"/>
        </w:rPr>
        <w:t xml:space="preserve">A. </w:t>
      </w:r>
      <w:r w:rsidRPr="00DF775B">
        <w:rPr>
          <w:sz w:val="16"/>
          <w:szCs w:val="16"/>
          <w:lang w:val="en-GB"/>
        </w:rPr>
        <w:t xml:space="preserve">Carruther, </w:t>
      </w:r>
      <w:r w:rsidR="00B001F5">
        <w:rPr>
          <w:sz w:val="16"/>
          <w:szCs w:val="16"/>
          <w:lang w:val="en-GB"/>
        </w:rPr>
        <w:t xml:space="preserve">P. </w:t>
      </w:r>
      <w:r w:rsidRPr="00DF775B">
        <w:rPr>
          <w:sz w:val="16"/>
          <w:szCs w:val="16"/>
          <w:lang w:val="en-GB"/>
        </w:rPr>
        <w:t xml:space="preserve">Barron, </w:t>
      </w:r>
      <w:r w:rsidR="00B001F5">
        <w:rPr>
          <w:sz w:val="16"/>
          <w:szCs w:val="16"/>
          <w:lang w:val="en-GB"/>
        </w:rPr>
        <w:t xml:space="preserve">S. </w:t>
      </w:r>
      <w:r w:rsidRPr="00DF775B">
        <w:rPr>
          <w:sz w:val="16"/>
          <w:szCs w:val="16"/>
          <w:lang w:val="en-GB"/>
        </w:rPr>
        <w:t xml:space="preserve">Middleburgh, </w:t>
      </w:r>
      <w:r w:rsidR="00B001F5">
        <w:rPr>
          <w:sz w:val="16"/>
          <w:szCs w:val="16"/>
          <w:lang w:val="en-GB"/>
        </w:rPr>
        <w:t xml:space="preserve">D. </w:t>
      </w:r>
      <w:r w:rsidRPr="00DF775B">
        <w:rPr>
          <w:sz w:val="16"/>
          <w:szCs w:val="16"/>
          <w:lang w:val="en-GB"/>
        </w:rPr>
        <w:t xml:space="preserve">Armstrong, </w:t>
      </w:r>
      <w:r w:rsidR="00B001F5">
        <w:rPr>
          <w:sz w:val="16"/>
          <w:szCs w:val="16"/>
          <w:lang w:val="en-GB"/>
        </w:rPr>
        <w:t xml:space="preserve">A. </w:t>
      </w:r>
      <w:r w:rsidRPr="00DF775B">
        <w:rPr>
          <w:sz w:val="16"/>
          <w:szCs w:val="16"/>
          <w:lang w:val="en-GB"/>
        </w:rPr>
        <w:t xml:space="preserve">Gandy, </w:t>
      </w:r>
      <w:r w:rsidRPr="00B001F5">
        <w:rPr>
          <w:i/>
          <w:iCs/>
          <w:sz w:val="16"/>
          <w:szCs w:val="16"/>
          <w:lang w:val="en-GB"/>
        </w:rPr>
        <w:t>High-Entropy Alloys for</w:t>
      </w:r>
    </w:p>
    <w:p w14:paraId="00DDC12E" w14:textId="651E0648" w:rsidR="00DF775B" w:rsidRDefault="00DF775B" w:rsidP="00135A29">
      <w:pPr>
        <w:pStyle w:val="TTPAddress"/>
        <w:spacing w:before="0"/>
        <w:ind w:left="426"/>
        <w:jc w:val="both"/>
        <w:rPr>
          <w:sz w:val="16"/>
          <w:szCs w:val="16"/>
          <w:lang w:val="en-GB"/>
        </w:rPr>
      </w:pPr>
      <w:r w:rsidRPr="00B001F5">
        <w:rPr>
          <w:i/>
          <w:iCs/>
          <w:sz w:val="16"/>
          <w:szCs w:val="16"/>
          <w:lang w:val="en-GB"/>
        </w:rPr>
        <w:t>Advanced Nuclear Applications</w:t>
      </w:r>
      <w:r w:rsidR="00B001F5">
        <w:rPr>
          <w:sz w:val="16"/>
          <w:szCs w:val="16"/>
          <w:lang w:val="en-GB"/>
        </w:rPr>
        <w:t>,</w:t>
      </w:r>
      <w:r w:rsidRPr="00DF775B">
        <w:rPr>
          <w:sz w:val="16"/>
          <w:szCs w:val="16"/>
          <w:lang w:val="en-GB"/>
        </w:rPr>
        <w:t xml:space="preserve"> Entropy </w:t>
      </w:r>
      <w:r w:rsidR="00B001F5">
        <w:rPr>
          <w:sz w:val="16"/>
          <w:szCs w:val="16"/>
          <w:lang w:val="en-GB"/>
        </w:rPr>
        <w:t>(</w:t>
      </w:r>
      <w:r w:rsidRPr="00DF775B">
        <w:rPr>
          <w:sz w:val="16"/>
          <w:szCs w:val="16"/>
          <w:lang w:val="en-GB"/>
        </w:rPr>
        <w:t>2021</w:t>
      </w:r>
      <w:r w:rsidR="00B001F5">
        <w:rPr>
          <w:sz w:val="16"/>
          <w:szCs w:val="16"/>
          <w:lang w:val="en-GB"/>
        </w:rPr>
        <w:t>)</w:t>
      </w:r>
      <w:r w:rsidRPr="00DF775B">
        <w:rPr>
          <w:sz w:val="16"/>
          <w:szCs w:val="16"/>
          <w:lang w:val="en-GB"/>
        </w:rPr>
        <w:t>,</w:t>
      </w:r>
      <w:r w:rsidR="00B001F5">
        <w:rPr>
          <w:sz w:val="16"/>
          <w:szCs w:val="16"/>
          <w:lang w:val="en-GB"/>
        </w:rPr>
        <w:t xml:space="preserve"> 1-28</w:t>
      </w:r>
    </w:p>
    <w:p w14:paraId="4BE3F2D0" w14:textId="5964A2F7" w:rsidR="00B001F5" w:rsidRDefault="00B001F5" w:rsidP="00135A29">
      <w:pPr>
        <w:pStyle w:val="TTPAddress"/>
        <w:spacing w:before="0"/>
        <w:ind w:left="426" w:hanging="426"/>
        <w:jc w:val="both"/>
        <w:rPr>
          <w:i/>
          <w:iCs/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[7] </w:t>
      </w:r>
      <w:r w:rsidR="00135A29">
        <w:rPr>
          <w:sz w:val="16"/>
          <w:szCs w:val="16"/>
          <w:lang w:val="en-GB"/>
        </w:rPr>
        <w:tab/>
      </w:r>
      <w:r w:rsidRPr="00B001F5">
        <w:rPr>
          <w:sz w:val="16"/>
          <w:szCs w:val="16"/>
          <w:lang w:val="en-GB"/>
        </w:rPr>
        <w:t>P Koželj, S Vrtnik, A Jelen, S Jazbec, Z Jagličić, S Maiti, M Feuerbacher, W Steurer, and J Dolinšek</w:t>
      </w:r>
      <w:r>
        <w:rPr>
          <w:sz w:val="16"/>
          <w:szCs w:val="16"/>
          <w:lang w:val="en-GB"/>
        </w:rPr>
        <w:t>,</w:t>
      </w:r>
      <w:r w:rsidRPr="00B001F5">
        <w:t xml:space="preserve"> </w:t>
      </w:r>
      <w:r w:rsidRPr="00B001F5">
        <w:rPr>
          <w:i/>
          <w:iCs/>
          <w:sz w:val="16"/>
          <w:szCs w:val="16"/>
          <w:lang w:val="en-GB"/>
        </w:rPr>
        <w:t>Discovery of a superconducting high-entropy alloy</w:t>
      </w:r>
      <w:r>
        <w:rPr>
          <w:i/>
          <w:iCs/>
          <w:sz w:val="16"/>
          <w:szCs w:val="16"/>
          <w:lang w:val="en-GB"/>
        </w:rPr>
        <w:t xml:space="preserve">, </w:t>
      </w:r>
      <w:r w:rsidRPr="00B001F5">
        <w:rPr>
          <w:i/>
          <w:iCs/>
          <w:sz w:val="16"/>
          <w:szCs w:val="16"/>
          <w:lang w:val="en-GB"/>
        </w:rPr>
        <w:t>Physical Review Letters</w:t>
      </w:r>
      <w:r>
        <w:rPr>
          <w:i/>
          <w:iCs/>
          <w:sz w:val="16"/>
          <w:szCs w:val="16"/>
          <w:lang w:val="en-GB"/>
        </w:rPr>
        <w:t xml:space="preserve">, </w:t>
      </w:r>
      <w:r w:rsidRPr="00B001F5">
        <w:rPr>
          <w:i/>
          <w:iCs/>
          <w:sz w:val="16"/>
          <w:szCs w:val="16"/>
          <w:lang w:val="en-GB"/>
        </w:rPr>
        <w:t>113 (2014)</w:t>
      </w:r>
    </w:p>
    <w:p w14:paraId="2C96F44C" w14:textId="04CCB51A" w:rsidR="00C94976" w:rsidRDefault="00C94976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 w:rsidRPr="00C94976">
        <w:rPr>
          <w:sz w:val="16"/>
          <w:szCs w:val="16"/>
          <w:lang w:val="en-GB"/>
        </w:rPr>
        <w:t>[8]</w:t>
      </w:r>
      <w:r w:rsidRPr="00C94976">
        <w:t xml:space="preserve"> </w:t>
      </w:r>
      <w:r w:rsidR="00135A29">
        <w:tab/>
      </w:r>
      <w:r w:rsidRPr="00C94976">
        <w:rPr>
          <w:sz w:val="16"/>
          <w:szCs w:val="16"/>
          <w:lang w:val="en-GB"/>
        </w:rPr>
        <w:t xml:space="preserve">Y. Yuan, Y. Wu, X. Liang, H. Wang, X. Liu, Z. Lu, </w:t>
      </w:r>
      <w:r w:rsidRPr="00C94976">
        <w:rPr>
          <w:i/>
          <w:iCs/>
          <w:sz w:val="16"/>
          <w:szCs w:val="16"/>
          <w:lang w:val="en-GB"/>
        </w:rPr>
        <w:t>Superconducting Ti15Zr15Nb35Ta35 high-entropy alloy with intermediate electron-phonon coupling</w:t>
      </w:r>
      <w:r>
        <w:rPr>
          <w:sz w:val="16"/>
          <w:szCs w:val="16"/>
          <w:lang w:val="en-GB"/>
        </w:rPr>
        <w:t>,</w:t>
      </w:r>
      <w:r w:rsidRPr="00C94976">
        <w:rPr>
          <w:sz w:val="16"/>
          <w:szCs w:val="16"/>
          <w:lang w:val="en-GB"/>
        </w:rPr>
        <w:t xml:space="preserve"> Frontiers in Materials, </w:t>
      </w:r>
      <w:r>
        <w:rPr>
          <w:sz w:val="16"/>
          <w:szCs w:val="16"/>
          <w:lang w:val="en-GB"/>
        </w:rPr>
        <w:t>5 (2018), 1-6</w:t>
      </w:r>
    </w:p>
    <w:p w14:paraId="57F2CB49" w14:textId="3C4C51FB" w:rsidR="00C94976" w:rsidRDefault="00C94976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[9] </w:t>
      </w:r>
      <w:r w:rsidR="00135A29">
        <w:rPr>
          <w:sz w:val="16"/>
          <w:szCs w:val="16"/>
          <w:lang w:val="en-GB"/>
        </w:rPr>
        <w:tab/>
      </w:r>
      <w:r w:rsidRPr="00C94976">
        <w:rPr>
          <w:sz w:val="16"/>
          <w:szCs w:val="16"/>
          <w:lang w:val="en-GB"/>
        </w:rPr>
        <w:t xml:space="preserve">K. Chen, S. Allen i J. Livingston, </w:t>
      </w:r>
      <w:r w:rsidRPr="00C94976">
        <w:rPr>
          <w:i/>
          <w:iCs/>
          <w:sz w:val="16"/>
          <w:szCs w:val="16"/>
          <w:lang w:val="en-GB"/>
        </w:rPr>
        <w:t>Factors affecting the room-temperature mechanical properties of TiCr2-base Laves phase alloys</w:t>
      </w:r>
      <w:r w:rsidRPr="00C94976">
        <w:rPr>
          <w:sz w:val="16"/>
          <w:szCs w:val="16"/>
          <w:lang w:val="en-GB"/>
        </w:rPr>
        <w:t>,</w:t>
      </w:r>
      <w:r>
        <w:rPr>
          <w:sz w:val="16"/>
          <w:szCs w:val="16"/>
          <w:lang w:val="en-GB"/>
        </w:rPr>
        <w:t xml:space="preserve"> </w:t>
      </w:r>
      <w:r w:rsidRPr="00C94976">
        <w:rPr>
          <w:sz w:val="16"/>
          <w:szCs w:val="16"/>
          <w:lang w:val="en-GB"/>
        </w:rPr>
        <w:t>Materials Science</w:t>
      </w:r>
      <w:r>
        <w:rPr>
          <w:sz w:val="16"/>
          <w:szCs w:val="16"/>
          <w:lang w:val="en-GB"/>
        </w:rPr>
        <w:t xml:space="preserve"> and E</w:t>
      </w:r>
      <w:r w:rsidRPr="00C94976">
        <w:rPr>
          <w:sz w:val="16"/>
          <w:szCs w:val="16"/>
          <w:lang w:val="en-GB"/>
        </w:rPr>
        <w:t>ngineering</w:t>
      </w:r>
      <w:r>
        <w:rPr>
          <w:sz w:val="16"/>
          <w:szCs w:val="16"/>
          <w:lang w:val="en-GB"/>
        </w:rPr>
        <w:t>, A242 (1998),</w:t>
      </w:r>
      <w:r w:rsidRPr="00C94976">
        <w:rPr>
          <w:sz w:val="16"/>
          <w:szCs w:val="16"/>
          <w:lang w:val="en-GB"/>
        </w:rPr>
        <w:t xml:space="preserve"> 162-173</w:t>
      </w:r>
    </w:p>
    <w:p w14:paraId="40592AA1" w14:textId="56F1D21D" w:rsidR="002C4103" w:rsidRPr="008877CE" w:rsidRDefault="002C4103" w:rsidP="00135A29">
      <w:pPr>
        <w:pStyle w:val="TTPAddress"/>
        <w:spacing w:before="0"/>
        <w:ind w:left="426" w:hanging="426"/>
        <w:jc w:val="both"/>
        <w:rPr>
          <w:sz w:val="16"/>
          <w:szCs w:val="16"/>
          <w:lang w:val="pl-PL"/>
        </w:rPr>
      </w:pPr>
      <w:r w:rsidRPr="008877CE">
        <w:rPr>
          <w:sz w:val="16"/>
          <w:szCs w:val="16"/>
          <w:lang w:val="pl-PL"/>
        </w:rPr>
        <w:t xml:space="preserve">[10] </w:t>
      </w:r>
      <w:r w:rsidR="00135A29" w:rsidRPr="008877CE">
        <w:rPr>
          <w:sz w:val="16"/>
          <w:szCs w:val="16"/>
          <w:lang w:val="pl-PL"/>
        </w:rPr>
        <w:tab/>
      </w:r>
      <w:r w:rsidRPr="008877CE">
        <w:rPr>
          <w:sz w:val="16"/>
          <w:szCs w:val="16"/>
          <w:lang w:val="pl-PL"/>
        </w:rPr>
        <w:t xml:space="preserve">J. Majta, </w:t>
      </w:r>
      <w:r w:rsidRPr="008877CE">
        <w:rPr>
          <w:i/>
          <w:iCs/>
          <w:sz w:val="16"/>
          <w:szCs w:val="16"/>
          <w:lang w:val="pl-PL"/>
        </w:rPr>
        <w:t>Odkształcenie i własności. Stale mikrostopowe. Wybrane zagadnienia</w:t>
      </w:r>
      <w:r w:rsidRPr="008877CE">
        <w:rPr>
          <w:sz w:val="16"/>
          <w:szCs w:val="16"/>
          <w:lang w:val="pl-PL"/>
        </w:rPr>
        <w:t>, Kraków: Uczelniane Wydawnictwo Naukowo-Dydaktyczne, AGH (2008)</w:t>
      </w:r>
    </w:p>
    <w:p w14:paraId="22DAC64D" w14:textId="20BCF0C1" w:rsidR="009C1591" w:rsidRDefault="002C4103" w:rsidP="00135A29">
      <w:pPr>
        <w:pStyle w:val="TTPAddress"/>
        <w:spacing w:before="0"/>
        <w:ind w:left="426" w:hanging="426"/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[11] </w:t>
      </w:r>
      <w:r w:rsidR="00135A29">
        <w:rPr>
          <w:sz w:val="16"/>
          <w:szCs w:val="16"/>
          <w:lang w:val="en-GB"/>
        </w:rPr>
        <w:tab/>
      </w:r>
      <w:r w:rsidR="001D1AA3" w:rsidRPr="001D1AA3">
        <w:rPr>
          <w:sz w:val="16"/>
          <w:szCs w:val="16"/>
          <w:lang w:val="en-GB"/>
        </w:rPr>
        <w:t>Y. K. Song, R. A. Varin, Indentation microcracking and toughness of newly discovered ternary intermetallic phases in the Ni-Si-Mg system, Intermetallics, 6, 379-393.</w:t>
      </w:r>
    </w:p>
    <w:p w14:paraId="6CF3347F" w14:textId="251393ED" w:rsidR="001D1AA3" w:rsidRDefault="001D1AA3" w:rsidP="001D1AA3">
      <w:pPr>
        <w:pStyle w:val="TTPAddress"/>
        <w:spacing w:before="0"/>
        <w:ind w:left="426" w:hanging="426"/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[12] </w:t>
      </w:r>
      <w:r>
        <w:rPr>
          <w:sz w:val="16"/>
          <w:szCs w:val="16"/>
          <w:lang w:val="en-GB"/>
        </w:rPr>
        <w:tab/>
      </w:r>
      <w:r w:rsidRPr="002C4103">
        <w:rPr>
          <w:sz w:val="16"/>
          <w:szCs w:val="16"/>
          <w:lang w:val="en-GB"/>
        </w:rPr>
        <w:t xml:space="preserve">J. Zhang, </w:t>
      </w:r>
      <w:r w:rsidRPr="002C4103">
        <w:rPr>
          <w:i/>
          <w:iCs/>
          <w:sz w:val="16"/>
          <w:szCs w:val="16"/>
          <w:lang w:val="en-GB"/>
        </w:rPr>
        <w:t>Mechanical Behavior and Microstructural Evolution in Metastable beta TiMo Based Alloys with TRIP and TWIP Effects</w:t>
      </w:r>
      <w:r w:rsidRPr="002C4103">
        <w:rPr>
          <w:sz w:val="16"/>
          <w:szCs w:val="16"/>
          <w:lang w:val="en-GB"/>
        </w:rPr>
        <w:t>, Materials,</w:t>
      </w:r>
      <w:r w:rsidRPr="002C4103">
        <w:t xml:space="preserve"> </w:t>
      </w:r>
      <w:r w:rsidRPr="002C4103">
        <w:rPr>
          <w:sz w:val="16"/>
          <w:szCs w:val="16"/>
          <w:lang w:val="en-GB"/>
        </w:rPr>
        <w:t>Université Pierre et Marie Curie - Paris VI, 2014.</w:t>
      </w:r>
    </w:p>
    <w:p w14:paraId="4AF67BAB" w14:textId="49C63396" w:rsidR="001D1AA3" w:rsidRPr="00AA38E6" w:rsidRDefault="001D1AA3" w:rsidP="001D1AA3">
      <w:pPr>
        <w:pStyle w:val="TTPAddress"/>
        <w:spacing w:before="0"/>
        <w:ind w:left="426" w:hanging="426"/>
        <w:jc w:val="lef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[13] </w:t>
      </w:r>
      <w:r>
        <w:rPr>
          <w:sz w:val="16"/>
          <w:szCs w:val="16"/>
          <w:lang w:val="en-GB"/>
        </w:rPr>
        <w:tab/>
      </w:r>
      <w:r w:rsidRPr="009C1591">
        <w:rPr>
          <w:sz w:val="16"/>
          <w:szCs w:val="16"/>
          <w:lang w:val="en-GB"/>
        </w:rPr>
        <w:t>R. P</w:t>
      </w:r>
      <w:r>
        <w:rPr>
          <w:sz w:val="16"/>
          <w:szCs w:val="16"/>
          <w:lang w:val="en-GB"/>
        </w:rPr>
        <w:t>.</w:t>
      </w:r>
      <w:r w:rsidRPr="009C1591">
        <w:rPr>
          <w:sz w:val="16"/>
          <w:szCs w:val="16"/>
          <w:lang w:val="en-GB"/>
        </w:rPr>
        <w:t xml:space="preserve"> Kolli</w:t>
      </w:r>
      <w:r>
        <w:rPr>
          <w:sz w:val="16"/>
          <w:szCs w:val="16"/>
          <w:lang w:val="en-GB"/>
        </w:rPr>
        <w:t xml:space="preserve">, A. </w:t>
      </w:r>
      <w:r w:rsidRPr="009C1591">
        <w:rPr>
          <w:sz w:val="16"/>
          <w:szCs w:val="16"/>
          <w:lang w:val="en-GB"/>
        </w:rPr>
        <w:t>Devara</w:t>
      </w:r>
      <w:r>
        <w:rPr>
          <w:sz w:val="16"/>
          <w:szCs w:val="16"/>
          <w:lang w:val="en-GB"/>
        </w:rPr>
        <w:t xml:space="preserve">, </w:t>
      </w:r>
      <w:r w:rsidRPr="009C1591">
        <w:rPr>
          <w:i/>
          <w:iCs/>
          <w:sz w:val="16"/>
          <w:szCs w:val="16"/>
          <w:lang w:val="en-GB"/>
        </w:rPr>
        <w:t>A Review of Metastable Beta Titanium Alloys</w:t>
      </w:r>
      <w:r>
        <w:rPr>
          <w:sz w:val="16"/>
          <w:szCs w:val="16"/>
          <w:lang w:val="en-GB"/>
        </w:rPr>
        <w:t>, Metals, 8 (2018), 1-41.</w:t>
      </w:r>
    </w:p>
    <w:sectPr w:rsidR="001D1AA3" w:rsidRPr="00AA38E6" w:rsidSect="005F096C">
      <w:pgSz w:w="11906" w:h="16838"/>
      <w:pgMar w:top="1361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5398F"/>
    <w:rsid w:val="00076642"/>
    <w:rsid w:val="000828B7"/>
    <w:rsid w:val="00083584"/>
    <w:rsid w:val="000915B7"/>
    <w:rsid w:val="000B5B32"/>
    <w:rsid w:val="000F1970"/>
    <w:rsid w:val="000F32E1"/>
    <w:rsid w:val="000F7C97"/>
    <w:rsid w:val="001234E5"/>
    <w:rsid w:val="00135A29"/>
    <w:rsid w:val="00190E41"/>
    <w:rsid w:val="001C3AEA"/>
    <w:rsid w:val="001D1AA3"/>
    <w:rsid w:val="00245375"/>
    <w:rsid w:val="002C4103"/>
    <w:rsid w:val="002D11DF"/>
    <w:rsid w:val="002D3402"/>
    <w:rsid w:val="00327829"/>
    <w:rsid w:val="00380C60"/>
    <w:rsid w:val="003D5BAA"/>
    <w:rsid w:val="003E7EB3"/>
    <w:rsid w:val="004759DC"/>
    <w:rsid w:val="00486EB2"/>
    <w:rsid w:val="00491281"/>
    <w:rsid w:val="00497AE5"/>
    <w:rsid w:val="004B1330"/>
    <w:rsid w:val="004C470E"/>
    <w:rsid w:val="004D105A"/>
    <w:rsid w:val="004D68DC"/>
    <w:rsid w:val="004F2D76"/>
    <w:rsid w:val="0057116C"/>
    <w:rsid w:val="005B1A61"/>
    <w:rsid w:val="005B2FA6"/>
    <w:rsid w:val="005D2025"/>
    <w:rsid w:val="005D406F"/>
    <w:rsid w:val="005F096C"/>
    <w:rsid w:val="00630E45"/>
    <w:rsid w:val="0064055F"/>
    <w:rsid w:val="00665583"/>
    <w:rsid w:val="006A63A9"/>
    <w:rsid w:val="006B3E08"/>
    <w:rsid w:val="006C36E7"/>
    <w:rsid w:val="006E01BA"/>
    <w:rsid w:val="00704339"/>
    <w:rsid w:val="007F7A64"/>
    <w:rsid w:val="00800A8B"/>
    <w:rsid w:val="00807668"/>
    <w:rsid w:val="008106C1"/>
    <w:rsid w:val="00817A12"/>
    <w:rsid w:val="00820809"/>
    <w:rsid w:val="00831AB9"/>
    <w:rsid w:val="0087753B"/>
    <w:rsid w:val="008877CE"/>
    <w:rsid w:val="008C5D61"/>
    <w:rsid w:val="0090374C"/>
    <w:rsid w:val="00923515"/>
    <w:rsid w:val="00942D07"/>
    <w:rsid w:val="009772B3"/>
    <w:rsid w:val="009A6DD9"/>
    <w:rsid w:val="009C1591"/>
    <w:rsid w:val="009C3015"/>
    <w:rsid w:val="009E073F"/>
    <w:rsid w:val="009F6199"/>
    <w:rsid w:val="00A02A7C"/>
    <w:rsid w:val="00A04464"/>
    <w:rsid w:val="00A26865"/>
    <w:rsid w:val="00A47D7B"/>
    <w:rsid w:val="00AA38E6"/>
    <w:rsid w:val="00AB088A"/>
    <w:rsid w:val="00B001F5"/>
    <w:rsid w:val="00B14482"/>
    <w:rsid w:val="00B421EA"/>
    <w:rsid w:val="00B53BB4"/>
    <w:rsid w:val="00B5795A"/>
    <w:rsid w:val="00B7284F"/>
    <w:rsid w:val="00B97BB0"/>
    <w:rsid w:val="00C36CF8"/>
    <w:rsid w:val="00C64ED3"/>
    <w:rsid w:val="00C94976"/>
    <w:rsid w:val="00CA43F0"/>
    <w:rsid w:val="00CC455B"/>
    <w:rsid w:val="00CE4B34"/>
    <w:rsid w:val="00D97F81"/>
    <w:rsid w:val="00DA27FF"/>
    <w:rsid w:val="00DF775B"/>
    <w:rsid w:val="00E00062"/>
    <w:rsid w:val="00E52666"/>
    <w:rsid w:val="00E55BF4"/>
    <w:rsid w:val="00E641FF"/>
    <w:rsid w:val="00E96756"/>
    <w:rsid w:val="00EC3EE8"/>
    <w:rsid w:val="00EF259D"/>
    <w:rsid w:val="00EF27FB"/>
    <w:rsid w:val="00F01604"/>
    <w:rsid w:val="00F44134"/>
    <w:rsid w:val="00F60C4F"/>
    <w:rsid w:val="00F74BF1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861E"/>
  <w15:chartTrackingRefBased/>
  <w15:docId w15:val="{B0FCBB64-DB19-47DD-8E35-8619B7D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64055F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64055F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64055F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5F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C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E01BA"/>
  </w:style>
  <w:style w:type="paragraph" w:customStyle="1" w:styleId="TTPReference">
    <w:name w:val="TTP Reference"/>
    <w:basedOn w:val="Normal"/>
    <w:uiPriority w:val="99"/>
    <w:rsid w:val="00135A2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styleId="TableGrid">
    <w:name w:val="Table Grid"/>
    <w:basedOn w:val="TableNormal"/>
    <w:uiPriority w:val="39"/>
    <w:rsid w:val="0013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35A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2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3E08"/>
    <w:rPr>
      <w:color w:val="808080"/>
    </w:rPr>
  </w:style>
  <w:style w:type="paragraph" w:styleId="Revision">
    <w:name w:val="Revision"/>
    <w:hidden/>
    <w:uiPriority w:val="99"/>
    <w:semiHidden/>
    <w:rsid w:val="0049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7FFB94-4F65-439C-97C9-C4B17305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Górniewicz Dominika</dc:creator>
  <cp:keywords/>
  <dc:description/>
  <cp:lastModifiedBy>Stephen Gale</cp:lastModifiedBy>
  <cp:revision>2</cp:revision>
  <dcterms:created xsi:type="dcterms:W3CDTF">2021-09-02T15:16:00Z</dcterms:created>
  <dcterms:modified xsi:type="dcterms:W3CDTF">2021-09-02T15:16:00Z</dcterms:modified>
</cp:coreProperties>
</file>