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C7BC0" w14:textId="6FDC807C" w:rsidR="00BB031B" w:rsidRPr="00BB031B" w:rsidRDefault="00BB031B" w:rsidP="00BB031B">
      <w:pPr>
        <w:pStyle w:val="TTPAuthors"/>
        <w:rPr>
          <w:b/>
          <w:bCs/>
          <w:sz w:val="24"/>
          <w:szCs w:val="24"/>
          <w:lang w:val="en-GB"/>
        </w:rPr>
      </w:pPr>
      <w:r w:rsidRPr="00BB031B">
        <w:rPr>
          <w:b/>
          <w:bCs/>
          <w:sz w:val="24"/>
          <w:szCs w:val="24"/>
          <w:lang w:val="en-GB"/>
        </w:rPr>
        <w:t xml:space="preserve">Ultra-robust Gel hybrids for Epidermal </w:t>
      </w:r>
      <w:proofErr w:type="gramStart"/>
      <w:r w:rsidRPr="00BB031B">
        <w:rPr>
          <w:b/>
          <w:bCs/>
          <w:sz w:val="24"/>
          <w:szCs w:val="24"/>
          <w:lang w:val="en-GB"/>
        </w:rPr>
        <w:t>Bio-monitoring</w:t>
      </w:r>
      <w:proofErr w:type="gramEnd"/>
    </w:p>
    <w:p w14:paraId="610C5076" w14:textId="77777777" w:rsidR="00BB031B" w:rsidRPr="00BB031B" w:rsidRDefault="00BB031B" w:rsidP="00F17770">
      <w:pPr>
        <w:pStyle w:val="TTPAuthors"/>
        <w:spacing w:before="0" w:after="120"/>
        <w:rPr>
          <w:sz w:val="20"/>
          <w:szCs w:val="20"/>
          <w:lang w:val="en-GB"/>
        </w:rPr>
      </w:pPr>
    </w:p>
    <w:p w14:paraId="2306BCE1" w14:textId="480B9060" w:rsidR="00BB031B" w:rsidRPr="00BB031B" w:rsidRDefault="00BB031B" w:rsidP="00BB031B">
      <w:pPr>
        <w:pStyle w:val="TTPAddress"/>
        <w:spacing w:before="0" w:after="120"/>
        <w:rPr>
          <w:rFonts w:ascii="Times New Roman" w:hAnsi="Times New Roman" w:cs="Times New Roman"/>
          <w:sz w:val="24"/>
          <w:szCs w:val="24"/>
          <w:lang w:val="en-GB"/>
        </w:rPr>
      </w:pPr>
      <w:proofErr w:type="spellStart"/>
      <w:r w:rsidRPr="00BB031B">
        <w:rPr>
          <w:sz w:val="20"/>
          <w:szCs w:val="20"/>
          <w:lang w:val="en-GB"/>
        </w:rPr>
        <w:t>Zibi</w:t>
      </w:r>
      <w:proofErr w:type="spellEnd"/>
      <w:r w:rsidRPr="00BB031B">
        <w:rPr>
          <w:sz w:val="20"/>
          <w:szCs w:val="20"/>
          <w:lang w:val="en-GB"/>
        </w:rPr>
        <w:t xml:space="preserve"> Wang</w:t>
      </w:r>
      <w:r w:rsidRPr="00BB031B">
        <w:rPr>
          <w:sz w:val="20"/>
          <w:szCs w:val="20"/>
          <w:vertAlign w:val="superscript"/>
          <w:lang w:val="en-GB"/>
        </w:rPr>
        <w:t>1</w:t>
      </w:r>
      <w:r w:rsidRPr="00BB031B">
        <w:rPr>
          <w:sz w:val="20"/>
          <w:szCs w:val="20"/>
          <w:lang w:val="en-GB"/>
        </w:rPr>
        <w:t>, Ding Wang</w:t>
      </w:r>
      <w:r w:rsidRPr="00BB031B">
        <w:rPr>
          <w:sz w:val="20"/>
          <w:szCs w:val="20"/>
          <w:vertAlign w:val="superscript"/>
          <w:lang w:val="en-GB"/>
        </w:rPr>
        <w:t>2</w:t>
      </w:r>
      <w:r w:rsidRPr="00BB031B">
        <w:rPr>
          <w:sz w:val="20"/>
          <w:szCs w:val="20"/>
          <w:lang w:val="en-GB"/>
        </w:rPr>
        <w:t>, Dong Liu</w:t>
      </w:r>
      <w:r w:rsidRPr="00BB031B">
        <w:rPr>
          <w:sz w:val="20"/>
          <w:szCs w:val="20"/>
          <w:vertAlign w:val="superscript"/>
          <w:lang w:val="en-GB"/>
        </w:rPr>
        <w:t>1</w:t>
      </w:r>
      <w:r w:rsidRPr="00BB031B">
        <w:rPr>
          <w:sz w:val="20"/>
          <w:szCs w:val="20"/>
          <w:lang w:val="en-GB"/>
        </w:rPr>
        <w:t>, Xiang Han</w:t>
      </w:r>
      <w:r w:rsidRPr="00BB031B">
        <w:rPr>
          <w:sz w:val="20"/>
          <w:szCs w:val="20"/>
          <w:vertAlign w:val="superscript"/>
          <w:lang w:val="en-GB"/>
        </w:rPr>
        <w:t>1</w:t>
      </w:r>
      <w:r w:rsidRPr="00BB031B">
        <w:rPr>
          <w:sz w:val="20"/>
          <w:szCs w:val="20"/>
          <w:lang w:val="en-GB"/>
        </w:rPr>
        <w:t xml:space="preserve">, </w:t>
      </w:r>
      <w:proofErr w:type="spellStart"/>
      <w:r w:rsidRPr="00BB031B">
        <w:rPr>
          <w:sz w:val="20"/>
          <w:szCs w:val="20"/>
          <w:lang w:val="en-GB"/>
        </w:rPr>
        <w:t>Xiaoxu</w:t>
      </w:r>
      <w:proofErr w:type="spellEnd"/>
      <w:r w:rsidRPr="00BB031B">
        <w:rPr>
          <w:sz w:val="20"/>
          <w:szCs w:val="20"/>
          <w:lang w:val="en-GB"/>
        </w:rPr>
        <w:t xml:space="preserve"> Liu</w:t>
      </w:r>
      <w:r w:rsidRPr="00BB031B">
        <w:rPr>
          <w:sz w:val="20"/>
          <w:szCs w:val="20"/>
          <w:vertAlign w:val="superscript"/>
          <w:lang w:val="en-GB"/>
        </w:rPr>
        <w:t>1</w:t>
      </w:r>
      <w:r w:rsidRPr="00BB031B">
        <w:rPr>
          <w:sz w:val="20"/>
          <w:szCs w:val="20"/>
          <w:lang w:val="en-GB"/>
        </w:rPr>
        <w:t>, Hamdi Torun</w:t>
      </w:r>
      <w:r w:rsidRPr="00BB031B">
        <w:rPr>
          <w:sz w:val="20"/>
          <w:szCs w:val="20"/>
          <w:vertAlign w:val="superscript"/>
          <w:lang w:val="en-GB"/>
        </w:rPr>
        <w:t>2</w:t>
      </w:r>
      <w:r w:rsidRPr="00BB031B">
        <w:rPr>
          <w:sz w:val="20"/>
          <w:szCs w:val="20"/>
          <w:lang w:val="en-GB"/>
        </w:rPr>
        <w:t xml:space="preserve">, </w:t>
      </w:r>
      <w:proofErr w:type="spellStart"/>
      <w:r w:rsidRPr="00BB031B">
        <w:rPr>
          <w:sz w:val="20"/>
          <w:szCs w:val="20"/>
          <w:lang w:val="en-GB"/>
        </w:rPr>
        <w:t>Zhanhu</w:t>
      </w:r>
      <w:proofErr w:type="spellEnd"/>
      <w:r w:rsidRPr="00BB031B">
        <w:rPr>
          <w:sz w:val="20"/>
          <w:szCs w:val="20"/>
          <w:lang w:val="en-GB"/>
        </w:rPr>
        <w:t xml:space="preserve"> Guo</w:t>
      </w:r>
      <w:r w:rsidRPr="00BB031B">
        <w:rPr>
          <w:sz w:val="20"/>
          <w:szCs w:val="20"/>
          <w:vertAlign w:val="superscript"/>
          <w:lang w:val="en-GB"/>
        </w:rPr>
        <w:t>2</w:t>
      </w:r>
      <w:r w:rsidRPr="00BB031B">
        <w:rPr>
          <w:sz w:val="20"/>
          <w:szCs w:val="20"/>
          <w:lang w:val="en-GB"/>
        </w:rPr>
        <w:t xml:space="preserve">, </w:t>
      </w:r>
      <w:r w:rsidRPr="00BB031B">
        <w:rPr>
          <w:sz w:val="20"/>
          <w:szCs w:val="20"/>
          <w:lang w:val="en-GB"/>
        </w:rPr>
        <w:br/>
        <w:t>Sidi Duan</w:t>
      </w:r>
      <w:r w:rsidRPr="00BB031B">
        <w:rPr>
          <w:sz w:val="20"/>
          <w:szCs w:val="20"/>
          <w:vertAlign w:val="superscript"/>
          <w:lang w:val="en-GB"/>
        </w:rPr>
        <w:t>3</w:t>
      </w:r>
      <w:r w:rsidRPr="00BB031B">
        <w:rPr>
          <w:sz w:val="20"/>
          <w:szCs w:val="20"/>
          <w:lang w:val="en-GB"/>
        </w:rPr>
        <w:t xml:space="preserve">, </w:t>
      </w:r>
      <w:proofErr w:type="spellStart"/>
      <w:r w:rsidRPr="00BB031B">
        <w:rPr>
          <w:sz w:val="20"/>
          <w:szCs w:val="20"/>
          <w:lang w:val="en-GB"/>
        </w:rPr>
        <w:t>Ximin</w:t>
      </w:r>
      <w:proofErr w:type="spellEnd"/>
      <w:r w:rsidRPr="00BB031B">
        <w:rPr>
          <w:sz w:val="20"/>
          <w:szCs w:val="20"/>
          <w:lang w:val="en-GB"/>
        </w:rPr>
        <w:t xml:space="preserve"> He</w:t>
      </w:r>
      <w:r w:rsidRPr="00BB031B">
        <w:rPr>
          <w:sz w:val="20"/>
          <w:szCs w:val="20"/>
          <w:vertAlign w:val="superscript"/>
          <w:lang w:val="en-GB"/>
        </w:rPr>
        <w:t>3</w:t>
      </w:r>
      <w:proofErr w:type="gramStart"/>
      <w:r w:rsidRPr="00BB031B">
        <w:rPr>
          <w:sz w:val="20"/>
          <w:szCs w:val="20"/>
          <w:lang w:val="en-GB"/>
        </w:rPr>
        <w:t>*,</w:t>
      </w:r>
      <w:proofErr w:type="spellStart"/>
      <w:r w:rsidRPr="00BB031B">
        <w:rPr>
          <w:sz w:val="20"/>
          <w:szCs w:val="20"/>
          <w:lang w:val="en-GB"/>
        </w:rPr>
        <w:t>Xuehua</w:t>
      </w:r>
      <w:proofErr w:type="spellEnd"/>
      <w:proofErr w:type="gramEnd"/>
      <w:r w:rsidRPr="00BB031B">
        <w:rPr>
          <w:sz w:val="20"/>
          <w:szCs w:val="20"/>
          <w:lang w:val="en-GB"/>
        </w:rPr>
        <w:t xml:space="preserve"> Zhang</w:t>
      </w:r>
      <w:r w:rsidRPr="00BB031B">
        <w:rPr>
          <w:sz w:val="20"/>
          <w:szCs w:val="20"/>
          <w:vertAlign w:val="superscript"/>
          <w:lang w:val="en-GB"/>
        </w:rPr>
        <w:t>4</w:t>
      </w:r>
      <w:r w:rsidRPr="00BB031B">
        <w:rPr>
          <w:sz w:val="20"/>
          <w:szCs w:val="20"/>
          <w:lang w:val="en-GB"/>
        </w:rPr>
        <w:t>*, Ben Bin Xu</w:t>
      </w:r>
      <w:r w:rsidRPr="00BB031B">
        <w:rPr>
          <w:sz w:val="20"/>
          <w:szCs w:val="20"/>
          <w:vertAlign w:val="superscript"/>
          <w:lang w:val="en-GB"/>
        </w:rPr>
        <w:t>2</w:t>
      </w:r>
      <w:r w:rsidRPr="00BB031B">
        <w:rPr>
          <w:sz w:val="20"/>
          <w:szCs w:val="20"/>
          <w:lang w:val="en-GB"/>
        </w:rPr>
        <w:t>*, Fei Chen</w:t>
      </w:r>
      <w:r w:rsidRPr="00BB031B">
        <w:rPr>
          <w:sz w:val="20"/>
          <w:szCs w:val="20"/>
          <w:vertAlign w:val="superscript"/>
          <w:lang w:val="en-GB"/>
        </w:rPr>
        <w:t>1</w:t>
      </w:r>
      <w:r w:rsidRPr="00BB031B">
        <w:rPr>
          <w:sz w:val="20"/>
          <w:szCs w:val="20"/>
          <w:lang w:val="en-GB"/>
        </w:rPr>
        <w:t>*</w:t>
      </w:r>
    </w:p>
    <w:p w14:paraId="4461E028" w14:textId="5488BEDB" w:rsidR="00F30817" w:rsidRPr="00BB031B" w:rsidRDefault="00F30817" w:rsidP="00F17770">
      <w:pPr>
        <w:pStyle w:val="TTPAuthors"/>
        <w:spacing w:before="0" w:after="120"/>
        <w:rPr>
          <w:sz w:val="18"/>
          <w:szCs w:val="18"/>
          <w:lang w:val="en-GB"/>
        </w:rPr>
      </w:pPr>
    </w:p>
    <w:p w14:paraId="48F5C1FB" w14:textId="77777777" w:rsidR="00BB031B" w:rsidRPr="00BB031B" w:rsidRDefault="00BB031B" w:rsidP="00BB031B">
      <w:pPr>
        <w:pStyle w:val="TTPAddress"/>
        <w:spacing w:before="0" w:after="120"/>
        <w:rPr>
          <w:sz w:val="20"/>
          <w:szCs w:val="20"/>
          <w:lang w:val="en-GB"/>
        </w:rPr>
      </w:pPr>
      <w:r w:rsidRPr="00BB031B">
        <w:rPr>
          <w:sz w:val="20"/>
          <w:szCs w:val="20"/>
          <w:vertAlign w:val="superscript"/>
          <w:lang w:val="en-GB"/>
        </w:rPr>
        <w:t>1</w:t>
      </w:r>
      <w:r w:rsidRPr="00BB031B">
        <w:rPr>
          <w:sz w:val="20"/>
          <w:szCs w:val="20"/>
          <w:lang w:val="en-GB"/>
        </w:rPr>
        <w:t xml:space="preserve">School of Chemical Engineering and Technology, Xi’an </w:t>
      </w:r>
      <w:proofErr w:type="spellStart"/>
      <w:r w:rsidRPr="00BB031B">
        <w:rPr>
          <w:sz w:val="20"/>
          <w:szCs w:val="20"/>
          <w:lang w:val="en-GB"/>
        </w:rPr>
        <w:t>Jiaotong</w:t>
      </w:r>
      <w:proofErr w:type="spellEnd"/>
      <w:r w:rsidRPr="00BB031B">
        <w:rPr>
          <w:sz w:val="20"/>
          <w:szCs w:val="20"/>
          <w:lang w:val="en-GB"/>
        </w:rPr>
        <w:t xml:space="preserve"> University, No. 28, </w:t>
      </w:r>
      <w:proofErr w:type="spellStart"/>
      <w:r w:rsidRPr="00BB031B">
        <w:rPr>
          <w:sz w:val="20"/>
          <w:szCs w:val="20"/>
          <w:lang w:val="en-GB"/>
        </w:rPr>
        <w:t>Xianning</w:t>
      </w:r>
      <w:proofErr w:type="spellEnd"/>
      <w:r w:rsidRPr="00BB031B">
        <w:rPr>
          <w:sz w:val="20"/>
          <w:szCs w:val="20"/>
          <w:lang w:val="en-GB"/>
        </w:rPr>
        <w:t xml:space="preserve"> West Road, Xi’an, Shaanxi, 710049, PR China,</w:t>
      </w:r>
    </w:p>
    <w:p w14:paraId="171F8663" w14:textId="77777777" w:rsidR="00BB031B" w:rsidRPr="00BB031B" w:rsidRDefault="00BB031B" w:rsidP="00BB031B">
      <w:pPr>
        <w:pStyle w:val="TTPAddress"/>
        <w:spacing w:before="0" w:after="120"/>
        <w:rPr>
          <w:sz w:val="20"/>
          <w:szCs w:val="20"/>
          <w:lang w:val="en-GB"/>
        </w:rPr>
      </w:pPr>
      <w:r w:rsidRPr="00BB031B">
        <w:rPr>
          <w:sz w:val="20"/>
          <w:szCs w:val="20"/>
          <w:vertAlign w:val="superscript"/>
          <w:lang w:val="en-GB"/>
        </w:rPr>
        <w:t>2</w:t>
      </w:r>
      <w:r w:rsidRPr="00BB031B">
        <w:rPr>
          <w:sz w:val="20"/>
          <w:szCs w:val="20"/>
          <w:lang w:val="en-GB"/>
        </w:rPr>
        <w:t>Mechanical and Construction Engineering, Faculty of Engineering and Environment, Northumbria University, Newcastle upon Tyne, NE1 8ST, UK</w:t>
      </w:r>
    </w:p>
    <w:p w14:paraId="2F735364" w14:textId="77777777" w:rsidR="00BB031B" w:rsidRPr="00BB031B" w:rsidRDefault="00BB031B" w:rsidP="00BB031B">
      <w:pPr>
        <w:jc w:val="center"/>
        <w:rPr>
          <w:rFonts w:ascii="Arial" w:hAnsi="Arial" w:cs="Arial"/>
          <w:sz w:val="22"/>
          <w:lang w:val="en-GB"/>
        </w:rPr>
      </w:pPr>
      <w:r w:rsidRPr="00BB031B">
        <w:rPr>
          <w:rFonts w:ascii="Arial" w:hAnsi="Arial" w:cs="Arial"/>
          <w:vertAlign w:val="superscript"/>
          <w:lang w:val="en-GB"/>
        </w:rPr>
        <w:t>3</w:t>
      </w:r>
      <w:r w:rsidRPr="00BB031B">
        <w:rPr>
          <w:rFonts w:ascii="Arial" w:hAnsi="Arial" w:cs="Arial"/>
          <w:sz w:val="22"/>
          <w:lang w:val="en-GB"/>
        </w:rPr>
        <w:t xml:space="preserve"> </w:t>
      </w:r>
      <w:r w:rsidRPr="00BB031B">
        <w:rPr>
          <w:rFonts w:ascii="Arial" w:hAnsi="Arial" w:cs="Arial"/>
          <w:lang w:val="en-GB"/>
        </w:rPr>
        <w:t>Department of Materials Science and Engineering, University of California, Los Angeles (UCLA), Los Angeles, CA 90095, USA</w:t>
      </w:r>
    </w:p>
    <w:p w14:paraId="7652EB7B" w14:textId="77777777" w:rsidR="00BB031B" w:rsidRPr="00BB031B" w:rsidRDefault="00BB031B" w:rsidP="00BB031B">
      <w:pPr>
        <w:pStyle w:val="TTPAddress"/>
        <w:spacing w:before="0" w:after="120"/>
        <w:rPr>
          <w:sz w:val="20"/>
          <w:szCs w:val="20"/>
          <w:lang w:val="en-GB"/>
        </w:rPr>
      </w:pPr>
      <w:r w:rsidRPr="00BB031B">
        <w:rPr>
          <w:sz w:val="20"/>
          <w:szCs w:val="20"/>
          <w:vertAlign w:val="superscript"/>
          <w:lang w:val="en-GB"/>
        </w:rPr>
        <w:t>4</w:t>
      </w:r>
      <w:r w:rsidRPr="00BB031B">
        <w:rPr>
          <w:sz w:val="20"/>
          <w:szCs w:val="20"/>
          <w:lang w:val="en-GB"/>
        </w:rPr>
        <w:t>Department of Chemical and Materials Engineering, University of Alberta, Alberta T6G 1H9, Canada</w:t>
      </w:r>
    </w:p>
    <w:p w14:paraId="521F5075" w14:textId="7A5198A5" w:rsidR="00F30817" w:rsidRPr="00E50964" w:rsidRDefault="00C90086" w:rsidP="00F17770">
      <w:pPr>
        <w:pStyle w:val="TTPAddress"/>
        <w:spacing w:before="0" w:after="120"/>
        <w:rPr>
          <w:sz w:val="20"/>
          <w:szCs w:val="20"/>
          <w:lang w:val="en-GB"/>
        </w:rPr>
      </w:pPr>
      <w:r w:rsidRPr="00E50964">
        <w:rPr>
          <w:sz w:val="20"/>
          <w:szCs w:val="20"/>
          <w:lang w:val="en-GB"/>
        </w:rPr>
        <w:t>*ben</w:t>
      </w:r>
      <w:r w:rsidR="00141E36" w:rsidRPr="00E50964">
        <w:rPr>
          <w:sz w:val="20"/>
          <w:szCs w:val="20"/>
          <w:lang w:val="en-GB"/>
        </w:rPr>
        <w:t>.</w:t>
      </w:r>
      <w:r w:rsidRPr="00E50964">
        <w:rPr>
          <w:sz w:val="20"/>
          <w:szCs w:val="20"/>
          <w:lang w:val="en-GB"/>
        </w:rPr>
        <w:t>xu</w:t>
      </w:r>
      <w:r w:rsidR="00141E36" w:rsidRPr="00E50964">
        <w:rPr>
          <w:sz w:val="20"/>
          <w:szCs w:val="20"/>
          <w:lang w:val="en-GB"/>
        </w:rPr>
        <w:t>@northumbria.ac.uk</w:t>
      </w:r>
    </w:p>
    <w:p w14:paraId="165E703F" w14:textId="77777777" w:rsidR="00690981" w:rsidRPr="00E50964" w:rsidRDefault="00690981">
      <w:pPr>
        <w:pStyle w:val="TTPAbstract"/>
        <w:spacing w:before="0"/>
        <w:rPr>
          <w:rFonts w:ascii="Arial" w:hAnsi="Arial" w:cs="Arial"/>
          <w:b/>
          <w:bCs/>
          <w:sz w:val="20"/>
          <w:szCs w:val="20"/>
          <w:lang w:val="en-GB"/>
        </w:rPr>
      </w:pPr>
    </w:p>
    <w:p w14:paraId="63F3E33C" w14:textId="71458632" w:rsidR="00BB031B" w:rsidRPr="00BB031B" w:rsidRDefault="00F30817" w:rsidP="00BB031B">
      <w:pPr>
        <w:pStyle w:val="TTPAbstract"/>
        <w:spacing w:before="0"/>
        <w:rPr>
          <w:rFonts w:ascii="Arial" w:hAnsi="Arial" w:cs="Arial"/>
          <w:sz w:val="20"/>
          <w:szCs w:val="20"/>
          <w:lang w:val="en-GB"/>
        </w:rPr>
      </w:pPr>
      <w:r w:rsidRPr="00E50964">
        <w:rPr>
          <w:rFonts w:ascii="Arial" w:hAnsi="Arial" w:cs="Arial"/>
          <w:b/>
          <w:bCs/>
          <w:sz w:val="20"/>
          <w:szCs w:val="20"/>
          <w:lang w:val="en-GB"/>
        </w:rPr>
        <w:t>Abstract.</w:t>
      </w:r>
      <w:r w:rsidRPr="00E50964">
        <w:rPr>
          <w:rFonts w:ascii="Arial" w:hAnsi="Arial" w:cs="Arial"/>
          <w:sz w:val="20"/>
          <w:szCs w:val="20"/>
          <w:lang w:val="en-GB"/>
        </w:rPr>
        <w:t xml:space="preserve"> </w:t>
      </w:r>
      <w:r w:rsidR="00BB031B" w:rsidRPr="00BB031B">
        <w:rPr>
          <w:rFonts w:ascii="Arial" w:hAnsi="Arial" w:cs="Arial"/>
          <w:sz w:val="20"/>
          <w:szCs w:val="20"/>
          <w:lang w:val="en-GB"/>
        </w:rPr>
        <w:t xml:space="preserve">Gel based sensor for personal health monitoring and human–machine interaction has attracted enormous interests [1-5]. A seamless and tough interface to integrate incompatible/immiscible soft layers is highly desired for flexible/wearable electronics [6]. Here, we introduce a surfactant mediated interfacial chemistry (SMIC) to achieve seamless and tough interfaces in soft multi-layer structures, with an ultra-high interfacial toughness up to ~1300 J/m2 for the architectural gel hybrid (AGH). The reversible interfacial noncovalent interactions effectively dissipate the energy on interface to sustain an excellent durability with ~2% reduction in interfacial toughness after 1000 tensile cycles. This strategy can be universally applied to the hybrid systems with varied interfaces between interior hydrogel (PAA, PVA, </w:t>
      </w:r>
      <w:proofErr w:type="spellStart"/>
      <w:r w:rsidR="00BB031B" w:rsidRPr="00BB031B">
        <w:rPr>
          <w:rFonts w:ascii="Arial" w:hAnsi="Arial" w:cs="Arial"/>
          <w:sz w:val="20"/>
          <w:szCs w:val="20"/>
          <w:lang w:val="en-GB"/>
        </w:rPr>
        <w:t>PAAm</w:t>
      </w:r>
      <w:proofErr w:type="spellEnd"/>
      <w:r w:rsidR="00BB031B" w:rsidRPr="00BB031B">
        <w:rPr>
          <w:rFonts w:ascii="Arial" w:hAnsi="Arial" w:cs="Arial"/>
          <w:sz w:val="20"/>
          <w:szCs w:val="20"/>
          <w:lang w:val="en-GB"/>
        </w:rPr>
        <w:t xml:space="preserve">, </w:t>
      </w:r>
      <w:proofErr w:type="spellStart"/>
      <w:r w:rsidR="00BB031B" w:rsidRPr="00BB031B">
        <w:rPr>
          <w:rFonts w:ascii="Arial" w:hAnsi="Arial" w:cs="Arial"/>
          <w:sz w:val="20"/>
          <w:szCs w:val="20"/>
          <w:lang w:val="en-GB"/>
        </w:rPr>
        <w:t>gelatin</w:t>
      </w:r>
      <w:proofErr w:type="spellEnd"/>
      <w:r w:rsidR="00BB031B" w:rsidRPr="00BB031B">
        <w:rPr>
          <w:rFonts w:ascii="Arial" w:hAnsi="Arial" w:cs="Arial"/>
          <w:sz w:val="20"/>
          <w:szCs w:val="20"/>
          <w:lang w:val="en-GB"/>
        </w:rPr>
        <w:t>) and exterior hydrophobic soft matter (</w:t>
      </w:r>
      <w:proofErr w:type="spellStart"/>
      <w:r w:rsidR="00BB031B" w:rsidRPr="00BB031B">
        <w:rPr>
          <w:rFonts w:ascii="Arial" w:hAnsi="Arial" w:cs="Arial"/>
          <w:sz w:val="20"/>
          <w:szCs w:val="20"/>
          <w:lang w:val="en-GB"/>
        </w:rPr>
        <w:t>ionogel</w:t>
      </w:r>
      <w:proofErr w:type="spellEnd"/>
      <w:r w:rsidR="00BB031B" w:rsidRPr="00BB031B">
        <w:rPr>
          <w:rFonts w:ascii="Arial" w:hAnsi="Arial" w:cs="Arial"/>
          <w:sz w:val="20"/>
          <w:szCs w:val="20"/>
          <w:lang w:val="en-GB"/>
        </w:rPr>
        <w:t xml:space="preserve">, </w:t>
      </w:r>
      <w:proofErr w:type="spellStart"/>
      <w:r w:rsidR="00BB031B" w:rsidRPr="00BB031B">
        <w:rPr>
          <w:rFonts w:ascii="Arial" w:hAnsi="Arial" w:cs="Arial"/>
          <w:sz w:val="20"/>
          <w:szCs w:val="20"/>
          <w:lang w:val="en-GB"/>
        </w:rPr>
        <w:t>lipogel</w:t>
      </w:r>
      <w:proofErr w:type="spellEnd"/>
      <w:r w:rsidR="00BB031B" w:rsidRPr="00BB031B">
        <w:rPr>
          <w:rFonts w:ascii="Arial" w:hAnsi="Arial" w:cs="Arial"/>
          <w:sz w:val="20"/>
          <w:szCs w:val="20"/>
          <w:lang w:val="en-GB"/>
        </w:rPr>
        <w:t xml:space="preserve"> and elastomer). The AGH based mechano-sensor presents remarkable robustness and stability in a wide range of conditions, </w:t>
      </w:r>
      <w:proofErr w:type="gramStart"/>
      <w:r w:rsidR="00BB031B" w:rsidRPr="00BB031B">
        <w:rPr>
          <w:rFonts w:ascii="Arial" w:hAnsi="Arial" w:cs="Arial"/>
          <w:sz w:val="20"/>
          <w:szCs w:val="20"/>
          <w:lang w:val="en-GB"/>
        </w:rPr>
        <w:t>i.e.</w:t>
      </w:r>
      <w:proofErr w:type="gramEnd"/>
      <w:r w:rsidR="00BB031B" w:rsidRPr="00BB031B">
        <w:rPr>
          <w:rFonts w:ascii="Arial" w:hAnsi="Arial" w:cs="Arial"/>
          <w:sz w:val="20"/>
          <w:szCs w:val="20"/>
          <w:lang w:val="en-GB"/>
        </w:rPr>
        <w:t xml:space="preserve"> open air, underwater, various solvents and temperatures. Epidermal </w:t>
      </w:r>
      <w:proofErr w:type="gramStart"/>
      <w:r w:rsidR="00BB031B" w:rsidRPr="00BB031B">
        <w:rPr>
          <w:rFonts w:ascii="Arial" w:hAnsi="Arial" w:cs="Arial"/>
          <w:sz w:val="20"/>
          <w:szCs w:val="20"/>
          <w:lang w:val="en-GB"/>
        </w:rPr>
        <w:t>bio-monitoring</w:t>
      </w:r>
      <w:proofErr w:type="gramEnd"/>
      <w:r w:rsidR="00BB031B" w:rsidRPr="00BB031B">
        <w:rPr>
          <w:rFonts w:ascii="Arial" w:hAnsi="Arial" w:cs="Arial"/>
          <w:sz w:val="20"/>
          <w:szCs w:val="20"/>
          <w:lang w:val="en-GB"/>
        </w:rPr>
        <w:t xml:space="preserve">, tactile trajectory and facial expression recognition are demonstrated using the AGH sensor in various environments. A rich set of electrophysiological signals are acquired with robust and excellent quality. </w:t>
      </w:r>
    </w:p>
    <w:p w14:paraId="40A2C9F4" w14:textId="1E617168" w:rsidR="00FE1FCC" w:rsidRPr="00E50964" w:rsidRDefault="00FE1FCC">
      <w:pPr>
        <w:pStyle w:val="TTPAbstract"/>
        <w:spacing w:before="0"/>
        <w:rPr>
          <w:rFonts w:ascii="Arial" w:hAnsi="Arial" w:cs="Arial"/>
          <w:sz w:val="20"/>
          <w:szCs w:val="20"/>
          <w:lang w:val="de-DE"/>
        </w:rPr>
      </w:pPr>
    </w:p>
    <w:p w14:paraId="185BB708" w14:textId="14D7B289" w:rsidR="00F30817" w:rsidRPr="00E50964" w:rsidRDefault="00F30817" w:rsidP="00F17770">
      <w:pPr>
        <w:pStyle w:val="TTPSectionHeading"/>
        <w:spacing w:before="120"/>
        <w:rPr>
          <w:rFonts w:ascii="Arial" w:hAnsi="Arial" w:cs="Arial"/>
          <w:sz w:val="20"/>
          <w:szCs w:val="20"/>
          <w:lang w:val="en-GB" w:eastAsia="zh-CN"/>
        </w:rPr>
      </w:pPr>
      <w:r w:rsidRPr="00E50964">
        <w:rPr>
          <w:rFonts w:ascii="Arial" w:hAnsi="Arial" w:cs="Arial"/>
          <w:sz w:val="20"/>
          <w:szCs w:val="20"/>
          <w:lang w:val="en-GB"/>
        </w:rPr>
        <w:t>Introduction</w:t>
      </w:r>
      <w:r w:rsidR="0070775F">
        <w:rPr>
          <w:rFonts w:ascii="Arial" w:hAnsi="Arial" w:cs="Arial"/>
          <w:sz w:val="20"/>
          <w:szCs w:val="20"/>
          <w:lang w:val="en-GB"/>
        </w:rPr>
        <w:t>:</w:t>
      </w:r>
    </w:p>
    <w:p w14:paraId="7C30349E" w14:textId="549BF968" w:rsidR="00BB031B" w:rsidRPr="00BB031B" w:rsidRDefault="00BB031B" w:rsidP="00BB031B">
      <w:pPr>
        <w:pStyle w:val="TTPParagraph1st"/>
        <w:rPr>
          <w:rFonts w:ascii="Arial" w:hAnsi="Arial" w:cs="Arial"/>
          <w:sz w:val="21"/>
          <w:szCs w:val="21"/>
          <w:lang w:val="en-GB"/>
        </w:rPr>
      </w:pPr>
      <w:bookmarkStart w:id="0" w:name="OLE_LINK23"/>
      <w:bookmarkStart w:id="1" w:name="OLE_LINK24"/>
      <w:r w:rsidRPr="00BB031B">
        <w:rPr>
          <w:rFonts w:ascii="Arial" w:hAnsi="Arial" w:cs="Arial"/>
          <w:bCs/>
          <w:sz w:val="21"/>
          <w:szCs w:val="21"/>
          <w:lang w:val="en-GB"/>
        </w:rPr>
        <w:t xml:space="preserve">Complementary bio-structure with hydrophobic and hydrophilic components exists in nature to </w:t>
      </w:r>
      <w:proofErr w:type="spellStart"/>
      <w:r w:rsidRPr="00BB031B">
        <w:rPr>
          <w:rFonts w:ascii="Arial" w:hAnsi="Arial" w:cs="Arial"/>
          <w:bCs/>
          <w:sz w:val="21"/>
          <w:szCs w:val="21"/>
          <w:lang w:val="en-GB"/>
        </w:rPr>
        <w:t>fulfill</w:t>
      </w:r>
      <w:proofErr w:type="spellEnd"/>
      <w:r w:rsidRPr="00BB031B">
        <w:rPr>
          <w:rFonts w:ascii="Arial" w:hAnsi="Arial" w:cs="Arial"/>
          <w:bCs/>
          <w:sz w:val="21"/>
          <w:szCs w:val="21"/>
          <w:lang w:val="en-GB"/>
        </w:rPr>
        <w:t xml:space="preserve"> the fundamental functions in various length scale</w:t>
      </w:r>
      <w:bookmarkEnd w:id="0"/>
      <w:bookmarkEnd w:id="1"/>
      <w:r w:rsidRPr="00BB031B">
        <w:rPr>
          <w:rFonts w:ascii="Arial" w:hAnsi="Arial" w:cs="Arial"/>
          <w:bCs/>
          <w:sz w:val="21"/>
          <w:szCs w:val="21"/>
          <w:lang w:val="en-GB"/>
        </w:rPr>
        <w:t xml:space="preserve">s. Amphipathic lipid molecules forming </w:t>
      </w:r>
      <w:bookmarkStart w:id="2" w:name="OLE_LINK21"/>
      <w:bookmarkStart w:id="3" w:name="OLE_LINK22"/>
      <w:r w:rsidRPr="00BB031B">
        <w:rPr>
          <w:rFonts w:ascii="Arial" w:hAnsi="Arial" w:cs="Arial"/>
          <w:bCs/>
          <w:sz w:val="21"/>
          <w:szCs w:val="21"/>
          <w:lang w:val="en-GB"/>
        </w:rPr>
        <w:t>cell membranes</w:t>
      </w:r>
      <w:bookmarkEnd w:id="2"/>
      <w:bookmarkEnd w:id="3"/>
      <w:r w:rsidRPr="00BB031B">
        <w:rPr>
          <w:rFonts w:ascii="Arial" w:hAnsi="Arial" w:cs="Arial"/>
          <w:bCs/>
          <w:sz w:val="21"/>
          <w:szCs w:val="21"/>
          <w:lang w:val="en-GB"/>
        </w:rPr>
        <w:t xml:space="preserve"> are examples at cellular level to ensure the metabolism. Whereas, mammalian skin integrating with the complementary units (oily hydrophobic epidermis and water-contained dermis) to facilitate the desired physiological function is another example at a macro level. Inspired by these bio-structures, hybrid integration of hydrogels with other incompatible/immiscible soft materials</w:t>
      </w:r>
      <w:r w:rsidRPr="00BB031B">
        <w:rPr>
          <w:rFonts w:ascii="Arial" w:hAnsi="Arial" w:cs="Arial"/>
          <w:sz w:val="21"/>
          <w:szCs w:val="21"/>
          <w:lang w:val="en-GB"/>
        </w:rPr>
        <w:t>, including elastomer, lipid gel (</w:t>
      </w:r>
      <w:proofErr w:type="spellStart"/>
      <w:r w:rsidRPr="00BB031B">
        <w:rPr>
          <w:rFonts w:ascii="Arial" w:hAnsi="Arial" w:cs="Arial"/>
          <w:sz w:val="21"/>
          <w:szCs w:val="21"/>
          <w:lang w:val="en-GB"/>
        </w:rPr>
        <w:t>lipogel</w:t>
      </w:r>
      <w:proofErr w:type="spellEnd"/>
      <w:r w:rsidRPr="00BB031B">
        <w:rPr>
          <w:rFonts w:ascii="Arial" w:hAnsi="Arial" w:cs="Arial"/>
          <w:sz w:val="21"/>
          <w:szCs w:val="21"/>
          <w:lang w:val="en-GB"/>
        </w:rPr>
        <w:t>) and ionic liquid gel (</w:t>
      </w:r>
      <w:proofErr w:type="spellStart"/>
      <w:r w:rsidRPr="00BB031B">
        <w:rPr>
          <w:rFonts w:ascii="Arial" w:hAnsi="Arial" w:cs="Arial"/>
          <w:sz w:val="21"/>
          <w:szCs w:val="21"/>
          <w:lang w:val="en-GB"/>
        </w:rPr>
        <w:t>ionogel</w:t>
      </w:r>
      <w:proofErr w:type="spellEnd"/>
      <w:r w:rsidRPr="00BB031B">
        <w:rPr>
          <w:rFonts w:ascii="Arial" w:hAnsi="Arial" w:cs="Arial"/>
          <w:sz w:val="21"/>
          <w:szCs w:val="21"/>
          <w:lang w:val="en-GB"/>
        </w:rPr>
        <w:t xml:space="preserve">) is a promising strategy to realize multi-functions in a variety of applications, including responsive materials, soft electronics, biomedical </w:t>
      </w:r>
      <w:proofErr w:type="gramStart"/>
      <w:r w:rsidRPr="00BB031B">
        <w:rPr>
          <w:rFonts w:ascii="Arial" w:hAnsi="Arial" w:cs="Arial"/>
          <w:sz w:val="21"/>
          <w:szCs w:val="21"/>
          <w:lang w:val="en-GB"/>
        </w:rPr>
        <w:t>lubrication</w:t>
      </w:r>
      <w:proofErr w:type="gramEnd"/>
      <w:r w:rsidRPr="00BB031B">
        <w:rPr>
          <w:rFonts w:ascii="Arial" w:hAnsi="Arial" w:cs="Arial"/>
          <w:sz w:val="21"/>
          <w:szCs w:val="21"/>
          <w:lang w:val="en-GB"/>
        </w:rPr>
        <w:t xml:space="preserve"> </w:t>
      </w:r>
      <w:r w:rsidRPr="00BB031B">
        <w:rPr>
          <w:rFonts w:ascii="Arial" w:hAnsi="Arial" w:cs="Arial"/>
          <w:sz w:val="21"/>
          <w:szCs w:val="21"/>
          <w:lang w:val="en-GB"/>
        </w:rPr>
        <w:t xml:space="preserve">and flexible </w:t>
      </w:r>
      <w:bookmarkStart w:id="4" w:name="OLE_LINK57"/>
      <w:r w:rsidRPr="00BB031B">
        <w:rPr>
          <w:rFonts w:ascii="Arial" w:hAnsi="Arial" w:cs="Arial"/>
          <w:sz w:val="21"/>
          <w:szCs w:val="21"/>
          <w:lang w:val="en-GB"/>
        </w:rPr>
        <w:t>actuators</w:t>
      </w:r>
      <w:bookmarkEnd w:id="4"/>
      <w:r>
        <w:rPr>
          <w:rFonts w:ascii="Arial" w:hAnsi="Arial" w:cs="Arial"/>
          <w:sz w:val="21"/>
          <w:szCs w:val="21"/>
          <w:lang w:val="en-GB"/>
        </w:rPr>
        <w:t xml:space="preserve">. </w:t>
      </w:r>
      <w:r w:rsidRPr="00BB031B">
        <w:rPr>
          <w:rFonts w:ascii="Arial" w:hAnsi="Arial" w:cs="Arial"/>
          <w:sz w:val="21"/>
          <w:szCs w:val="21"/>
          <w:lang w:val="en-GB"/>
        </w:rPr>
        <w:t>However, the weak interface caused by the intrinsic incompatibility between hydrogel and other soft materials (interfacial toughness &lt; ~1 J/m</w:t>
      </w:r>
      <w:r w:rsidRPr="00BB031B">
        <w:rPr>
          <w:rFonts w:ascii="Arial" w:hAnsi="Arial" w:cs="Arial"/>
          <w:sz w:val="21"/>
          <w:szCs w:val="21"/>
          <w:vertAlign w:val="superscript"/>
          <w:lang w:val="en-GB"/>
        </w:rPr>
        <w:t>2</w:t>
      </w:r>
      <w:r w:rsidRPr="00BB031B">
        <w:rPr>
          <w:rFonts w:ascii="Arial" w:hAnsi="Arial" w:cs="Arial"/>
          <w:sz w:val="21"/>
          <w:szCs w:val="21"/>
          <w:lang w:val="en-GB"/>
        </w:rPr>
        <w:t xml:space="preserve">), has severely hindered the practical implementation of </w:t>
      </w:r>
      <w:proofErr w:type="spellStart"/>
      <w:proofErr w:type="gramStart"/>
      <w:r w:rsidRPr="00BB031B">
        <w:rPr>
          <w:rFonts w:ascii="Arial" w:hAnsi="Arial" w:cs="Arial"/>
          <w:sz w:val="21"/>
          <w:szCs w:val="21"/>
          <w:lang w:val="en-GB"/>
        </w:rPr>
        <w:t>concept.Effective</w:t>
      </w:r>
      <w:proofErr w:type="spellEnd"/>
      <w:proofErr w:type="gramEnd"/>
      <w:r w:rsidRPr="00BB031B">
        <w:rPr>
          <w:rFonts w:ascii="Arial" w:hAnsi="Arial" w:cs="Arial"/>
          <w:sz w:val="21"/>
          <w:szCs w:val="21"/>
          <w:lang w:val="en-GB"/>
        </w:rPr>
        <w:t xml:space="preserve"> bonding strategies between hydrogels and other soft materials has been extensively researched. Covalently anchoring long-chain hydrogel networks on solid substrates has secured an interface with a toughness </w:t>
      </w:r>
      <w:bookmarkStart w:id="5" w:name="OLE_LINK18"/>
      <w:bookmarkStart w:id="6" w:name="OLE_LINK34"/>
      <w:r w:rsidRPr="00BB031B">
        <w:rPr>
          <w:rFonts w:ascii="Arial" w:hAnsi="Arial" w:cs="Arial"/>
          <w:sz w:val="21"/>
          <w:szCs w:val="21"/>
          <w:lang w:val="en-GB"/>
        </w:rPr>
        <w:t>comparable to tendon and bone tissues of human</w:t>
      </w:r>
      <w:bookmarkEnd w:id="5"/>
      <w:bookmarkEnd w:id="6"/>
      <w:r w:rsidRPr="00BB031B">
        <w:rPr>
          <w:rFonts w:ascii="Arial" w:hAnsi="Arial" w:cs="Arial"/>
          <w:sz w:val="21"/>
          <w:szCs w:val="21"/>
          <w:lang w:val="en-GB"/>
        </w:rPr>
        <w:t xml:space="preserve"> (~800 J/m</w:t>
      </w:r>
      <w:r w:rsidRPr="00BB031B">
        <w:rPr>
          <w:rFonts w:ascii="Arial" w:hAnsi="Arial" w:cs="Arial"/>
          <w:sz w:val="21"/>
          <w:szCs w:val="21"/>
          <w:vertAlign w:val="superscript"/>
          <w:lang w:val="en-GB"/>
        </w:rPr>
        <w:t>2</w:t>
      </w:r>
      <w:r w:rsidRPr="00BB031B">
        <w:rPr>
          <w:rFonts w:ascii="Arial" w:hAnsi="Arial" w:cs="Arial"/>
          <w:sz w:val="21"/>
          <w:szCs w:val="21"/>
          <w:lang w:val="en-GB"/>
        </w:rPr>
        <w:t>). Another method to construct an interfacial interpenetration structure, is to utilize hydrophobic and hydrophilic initiators to form a hydrogel layer on the elastomer surface. These reported strategies mainly focus on creating a hydrogel coating upon hydrophobic soft materials. On the other hand, the reciprocal strategy of controllably generating a hydrophobic layer on the hydrogel surface has not been well explored.</w:t>
      </w:r>
    </w:p>
    <w:p w14:paraId="62D2E3D0" w14:textId="50EB8D6C" w:rsidR="00E50F72" w:rsidRPr="0070775F" w:rsidRDefault="00E50F72">
      <w:pPr>
        <w:pStyle w:val="TTPParagraph1st"/>
        <w:rPr>
          <w:rFonts w:ascii="Arial" w:hAnsi="Arial" w:cs="Arial"/>
          <w:sz w:val="12"/>
          <w:szCs w:val="12"/>
          <w:lang w:val="en-GB"/>
        </w:rPr>
      </w:pPr>
    </w:p>
    <w:p w14:paraId="4D923EA8" w14:textId="0AE60002" w:rsidR="00BB031B" w:rsidRPr="00BB031B" w:rsidRDefault="00BB031B" w:rsidP="00BB031B">
      <w:pPr>
        <w:pStyle w:val="TTPParagraph1st"/>
        <w:rPr>
          <w:rFonts w:ascii="Arial" w:hAnsi="Arial" w:cs="Arial"/>
          <w:sz w:val="21"/>
          <w:szCs w:val="21"/>
          <w:lang w:val="en-GB"/>
        </w:rPr>
      </w:pPr>
      <w:bookmarkStart w:id="7" w:name="_Hlk96295914"/>
      <w:r w:rsidRPr="00BB031B">
        <w:rPr>
          <w:rFonts w:ascii="Arial" w:hAnsi="Arial" w:cs="Arial"/>
          <w:sz w:val="21"/>
          <w:szCs w:val="21"/>
          <w:lang w:val="en-GB"/>
        </w:rPr>
        <w:t>Herein, we propose an interfacial strategy based on surfactant-mediated interfacial chemistry (SMIC) to controllably form a hydrophobic soft layer seamlessly on a hydrogel surface without compromising the homogeneity of either phase. The adsorbed surfactant micelles anchor the hydrophobic silane agents on the hydrophilic hydrogel surface and host the polymerization subsequently. This interfacial strategy achieves a tough interface (up to ~1,300 J/m2 in interfacial toughness), unique solvent resistance, and remarkable durability (~6.9% loss) after 10,000 stretching cycles. This SMIC approach works universally on the interfaces between various exterior soft materials (</w:t>
      </w:r>
      <w:proofErr w:type="spellStart"/>
      <w:r w:rsidRPr="00BB031B">
        <w:rPr>
          <w:rFonts w:ascii="Arial" w:hAnsi="Arial" w:cs="Arial"/>
          <w:sz w:val="21"/>
          <w:szCs w:val="21"/>
          <w:lang w:val="en-GB"/>
        </w:rPr>
        <w:t>lipogel</w:t>
      </w:r>
      <w:proofErr w:type="spellEnd"/>
      <w:r w:rsidRPr="00BB031B">
        <w:rPr>
          <w:rFonts w:ascii="Arial" w:hAnsi="Arial" w:cs="Arial"/>
          <w:sz w:val="21"/>
          <w:szCs w:val="21"/>
          <w:lang w:val="en-GB"/>
        </w:rPr>
        <w:t xml:space="preserve">, </w:t>
      </w:r>
      <w:proofErr w:type="spellStart"/>
      <w:r w:rsidRPr="00BB031B">
        <w:rPr>
          <w:rFonts w:ascii="Arial" w:hAnsi="Arial" w:cs="Arial"/>
          <w:sz w:val="21"/>
          <w:szCs w:val="21"/>
          <w:lang w:val="en-GB"/>
        </w:rPr>
        <w:t>ionogel</w:t>
      </w:r>
      <w:proofErr w:type="spellEnd"/>
      <w:r w:rsidRPr="00BB031B">
        <w:rPr>
          <w:rFonts w:ascii="Arial" w:hAnsi="Arial" w:cs="Arial"/>
          <w:sz w:val="21"/>
          <w:szCs w:val="21"/>
          <w:lang w:val="en-GB"/>
        </w:rPr>
        <w:t xml:space="preserve"> and elastomer) and interior hydrogels. The exemplified architectural gel hybrid (AGH) can perform precise epidermal </w:t>
      </w:r>
      <w:proofErr w:type="gramStart"/>
      <w:r w:rsidRPr="00BB031B">
        <w:rPr>
          <w:rFonts w:ascii="Arial" w:hAnsi="Arial" w:cs="Arial"/>
          <w:sz w:val="21"/>
          <w:szCs w:val="21"/>
          <w:lang w:val="en-GB"/>
        </w:rPr>
        <w:t>bio-monitoring</w:t>
      </w:r>
      <w:proofErr w:type="gramEnd"/>
      <w:r w:rsidRPr="00BB031B">
        <w:rPr>
          <w:rFonts w:ascii="Arial" w:hAnsi="Arial" w:cs="Arial"/>
          <w:sz w:val="21"/>
          <w:szCs w:val="21"/>
          <w:lang w:val="en-GB"/>
        </w:rPr>
        <w:t xml:space="preserve"> at various environments (open air, different solvents and temperatures).  </w:t>
      </w:r>
    </w:p>
    <w:p w14:paraId="0882A48B" w14:textId="77777777" w:rsidR="0070775F" w:rsidRPr="0070775F" w:rsidRDefault="0070775F" w:rsidP="0070775F">
      <w:pPr>
        <w:pStyle w:val="TTPParagraph1st"/>
        <w:rPr>
          <w:rFonts w:ascii="Arial" w:hAnsi="Arial" w:cs="Arial"/>
          <w:sz w:val="12"/>
          <w:szCs w:val="12"/>
          <w:lang w:val="en-GB"/>
        </w:rPr>
      </w:pPr>
    </w:p>
    <w:bookmarkEnd w:id="7"/>
    <w:p w14:paraId="7B546646" w14:textId="25BDCEB8" w:rsidR="00531407" w:rsidRDefault="00B52300" w:rsidP="00B52300">
      <w:pPr>
        <w:pStyle w:val="TTPParagraphothers"/>
        <w:ind w:firstLine="0"/>
        <w:jc w:val="center"/>
      </w:pPr>
      <w:r w:rsidRPr="00B52300">
        <w:lastRenderedPageBreak/>
        <w:drawing>
          <wp:inline distT="0" distB="0" distL="0" distR="0" wp14:anchorId="2C3B8AC5" wp14:editId="32108FF2">
            <wp:extent cx="4237022" cy="5340783"/>
            <wp:effectExtent l="0" t="0" r="508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4256810" cy="5365726"/>
                    </a:xfrm>
                    <a:prstGeom prst="rect">
                      <a:avLst/>
                    </a:prstGeom>
                  </pic:spPr>
                </pic:pic>
              </a:graphicData>
            </a:graphic>
          </wp:inline>
        </w:drawing>
      </w:r>
    </w:p>
    <w:p w14:paraId="6D9669C5" w14:textId="66A225B4" w:rsidR="00B52300" w:rsidRPr="00B52300" w:rsidRDefault="00B52300" w:rsidP="00B52300">
      <w:pPr>
        <w:spacing w:line="276" w:lineRule="auto"/>
        <w:jc w:val="both"/>
        <w:rPr>
          <w:lang w:val="en-US"/>
        </w:rPr>
      </w:pPr>
      <w:r w:rsidRPr="00B52300">
        <w:rPr>
          <w:b/>
          <w:bCs/>
          <w:lang w:val="en-US"/>
        </w:rPr>
        <w:t>Fig</w:t>
      </w:r>
      <w:r w:rsidRPr="00B52300">
        <w:rPr>
          <w:b/>
          <w:bCs/>
          <w:lang w:val="en-US"/>
        </w:rPr>
        <w:t>ure 1</w:t>
      </w:r>
      <w:r w:rsidRPr="00B52300">
        <w:rPr>
          <w:lang w:val="en-US"/>
        </w:rPr>
        <w:t xml:space="preserve">. Tactile </w:t>
      </w:r>
      <w:r>
        <w:rPr>
          <w:lang w:val="en-US"/>
        </w:rPr>
        <w:t xml:space="preserve">sensing enabled </w:t>
      </w:r>
      <w:r w:rsidRPr="00B52300">
        <w:rPr>
          <w:lang w:val="en-US"/>
        </w:rPr>
        <w:t xml:space="preserve">avatar to reflect dynamic bio-physiological signal acquiring in real time. </w:t>
      </w:r>
      <w:r>
        <w:rPr>
          <w:rFonts w:hint="eastAsia"/>
          <w:lang w:val="en-US" w:eastAsia="zh-CN"/>
        </w:rPr>
        <w:t>A</w:t>
      </w:r>
      <w:r w:rsidRPr="00B52300">
        <w:rPr>
          <w:lang w:val="en-US"/>
        </w:rPr>
        <w:t xml:space="preserve">) The schematic analysis on facial muscles that determine the expression and deployment of sensors on human face. </w:t>
      </w:r>
      <w:r>
        <w:rPr>
          <w:lang w:val="en-US"/>
        </w:rPr>
        <w:t>B</w:t>
      </w:r>
      <w:r w:rsidRPr="00B52300">
        <w:rPr>
          <w:lang w:val="en-US"/>
        </w:rPr>
        <w:t xml:space="preserve">) Different expressions on a male volunteer’s face and the corresponding avatars. </w:t>
      </w:r>
      <w:r>
        <w:rPr>
          <w:lang w:val="en-US"/>
        </w:rPr>
        <w:t>C</w:t>
      </w:r>
      <w:r w:rsidRPr="00B52300">
        <w:rPr>
          <w:lang w:val="en-US"/>
        </w:rPr>
        <w:t>) Corresponding sensing signals and detailed expression variations for (</w:t>
      </w:r>
      <w:r>
        <w:rPr>
          <w:lang w:val="en-US"/>
        </w:rPr>
        <w:t>B</w:t>
      </w:r>
      <w:r w:rsidRPr="00B52300">
        <w:rPr>
          <w:lang w:val="en-US"/>
        </w:rPr>
        <w:t xml:space="preserve">). </w:t>
      </w:r>
      <w:r>
        <w:rPr>
          <w:lang w:val="en-US"/>
        </w:rPr>
        <w:t>D</w:t>
      </w:r>
      <w:r w:rsidRPr="00B52300">
        <w:rPr>
          <w:lang w:val="en-US"/>
        </w:rPr>
        <w:t xml:space="preserve">) Snapshots of expressions on a female volunteer’s face and corresponding avatars. </w:t>
      </w:r>
      <w:r>
        <w:rPr>
          <w:lang w:val="en-US"/>
        </w:rPr>
        <w:t>E</w:t>
      </w:r>
      <w:r w:rsidRPr="00B52300">
        <w:rPr>
          <w:lang w:val="en-US"/>
        </w:rPr>
        <w:t xml:space="preserve">) </w:t>
      </w:r>
      <w:bookmarkStart w:id="8" w:name="_Hlk120725967"/>
      <w:r w:rsidRPr="00B52300">
        <w:rPr>
          <w:lang w:val="en-US"/>
        </w:rPr>
        <w:t>Snapshots of expressions on the male volunteer’s face underwater and the corresponding avatars.</w:t>
      </w:r>
      <w:bookmarkEnd w:id="8"/>
      <w:r w:rsidRPr="00B52300">
        <w:rPr>
          <w:lang w:val="en-US"/>
        </w:rPr>
        <w:t xml:space="preserve"> </w:t>
      </w:r>
      <w:r>
        <w:rPr>
          <w:lang w:val="en-US"/>
        </w:rPr>
        <w:t>F</w:t>
      </w:r>
      <w:r w:rsidRPr="00B52300">
        <w:rPr>
          <w:lang w:val="en-US"/>
        </w:rPr>
        <w:t xml:space="preserve">) Outputted signal curves corresponding to these male expressions underwater. </w:t>
      </w:r>
    </w:p>
    <w:p w14:paraId="7DB0400F" w14:textId="77777777" w:rsidR="00B52300" w:rsidRPr="00B52300" w:rsidRDefault="00B52300" w:rsidP="00531407">
      <w:pPr>
        <w:pStyle w:val="TTPParagraphothers"/>
        <w:ind w:firstLine="0"/>
        <w:rPr>
          <w:lang w:val="en-GB"/>
        </w:rPr>
      </w:pPr>
    </w:p>
    <w:p w14:paraId="6D515138" w14:textId="77777777" w:rsidR="00F30817" w:rsidRPr="00E50964" w:rsidRDefault="00F30817" w:rsidP="00F17770">
      <w:pPr>
        <w:pStyle w:val="TTPSectionHeading"/>
        <w:spacing w:before="120"/>
        <w:rPr>
          <w:rFonts w:ascii="Arial" w:hAnsi="Arial" w:cs="Arial"/>
          <w:sz w:val="20"/>
          <w:szCs w:val="20"/>
          <w:lang w:val="en-GB"/>
        </w:rPr>
      </w:pPr>
      <w:r w:rsidRPr="00E50964">
        <w:rPr>
          <w:rFonts w:ascii="Arial" w:hAnsi="Arial" w:cs="Arial"/>
          <w:sz w:val="20"/>
          <w:szCs w:val="20"/>
          <w:lang w:val="en-GB"/>
        </w:rPr>
        <w:t>References</w:t>
      </w:r>
    </w:p>
    <w:p w14:paraId="18C5C0AE" w14:textId="77777777" w:rsidR="00BB031B" w:rsidRPr="00B52300" w:rsidRDefault="00BB031B" w:rsidP="00B52300">
      <w:pPr>
        <w:pStyle w:val="TTPReference"/>
        <w:spacing w:after="0" w:line="240" w:lineRule="auto"/>
        <w:rPr>
          <w:sz w:val="20"/>
          <w:szCs w:val="20"/>
          <w:lang w:val="en-GB"/>
        </w:rPr>
      </w:pPr>
      <w:r w:rsidRPr="00B52300">
        <w:rPr>
          <w:sz w:val="20"/>
          <w:szCs w:val="20"/>
          <w:lang w:val="en-GB"/>
        </w:rPr>
        <w:t>[1]</w:t>
      </w:r>
      <w:r w:rsidRPr="00B52300">
        <w:rPr>
          <w:sz w:val="20"/>
          <w:szCs w:val="20"/>
          <w:lang w:val="en-GB"/>
        </w:rPr>
        <w:tab/>
      </w:r>
      <w:r w:rsidRPr="00B52300">
        <w:rPr>
          <w:sz w:val="20"/>
          <w:szCs w:val="20"/>
          <w:lang w:val="en-US"/>
        </w:rPr>
        <w:t xml:space="preserve">L. Pan, G. Yu, D. </w:t>
      </w:r>
      <w:proofErr w:type="spellStart"/>
      <w:r w:rsidRPr="00B52300">
        <w:rPr>
          <w:sz w:val="20"/>
          <w:szCs w:val="20"/>
          <w:lang w:val="en-US"/>
        </w:rPr>
        <w:t>Zhai</w:t>
      </w:r>
      <w:proofErr w:type="spellEnd"/>
      <w:r w:rsidRPr="00B52300">
        <w:rPr>
          <w:sz w:val="20"/>
          <w:szCs w:val="20"/>
          <w:lang w:val="en-US"/>
        </w:rPr>
        <w:t>, H.R. Lee, W. Zhao, N. Liu, H. Wang, B.C. Tee, Y. Shi, Y. Cui, Z. Bao, Hierarchical nanostructured conducting polymer hydrogel with high electrochemical activity. Proc. Natl. Acad. Sci. U.S.A. 109 (2012), p.9287-92.</w:t>
      </w:r>
    </w:p>
    <w:p w14:paraId="757D960B" w14:textId="77777777" w:rsidR="00BB031B" w:rsidRPr="00B52300" w:rsidRDefault="00BB031B" w:rsidP="00B52300">
      <w:pPr>
        <w:pStyle w:val="TTPReference"/>
        <w:spacing w:after="0" w:line="240" w:lineRule="auto"/>
        <w:rPr>
          <w:sz w:val="20"/>
          <w:szCs w:val="20"/>
          <w:lang w:val="en-GB"/>
        </w:rPr>
      </w:pPr>
      <w:r w:rsidRPr="00B52300">
        <w:rPr>
          <w:sz w:val="20"/>
          <w:szCs w:val="20"/>
          <w:lang w:val="en-GB"/>
        </w:rPr>
        <w:t>[2]</w:t>
      </w:r>
      <w:r w:rsidRPr="00B52300">
        <w:rPr>
          <w:sz w:val="20"/>
          <w:szCs w:val="20"/>
          <w:lang w:val="en-GB"/>
        </w:rPr>
        <w:tab/>
        <w:t>H. Wei, Z. Wang, H. Zhang, Y. Huang, Z. Wang, Y. Zhou, B.B. Xu, S. </w:t>
      </w:r>
      <w:proofErr w:type="spellStart"/>
      <w:r w:rsidRPr="00B52300">
        <w:rPr>
          <w:sz w:val="20"/>
          <w:szCs w:val="20"/>
          <w:lang w:val="en-GB"/>
        </w:rPr>
        <w:t>Halila</w:t>
      </w:r>
      <w:proofErr w:type="spellEnd"/>
      <w:r w:rsidRPr="00B52300">
        <w:rPr>
          <w:sz w:val="20"/>
          <w:szCs w:val="20"/>
          <w:lang w:val="en-GB"/>
        </w:rPr>
        <w:t xml:space="preserve">, J. Chen, </w:t>
      </w:r>
      <w:proofErr w:type="spellStart"/>
      <w:r w:rsidRPr="00B52300">
        <w:rPr>
          <w:sz w:val="20"/>
          <w:szCs w:val="20"/>
          <w:lang w:val="en-GB"/>
        </w:rPr>
        <w:t>Ultrastretchable</w:t>
      </w:r>
      <w:proofErr w:type="spellEnd"/>
      <w:r w:rsidRPr="00B52300">
        <w:rPr>
          <w:sz w:val="20"/>
          <w:szCs w:val="20"/>
          <w:lang w:val="en-GB"/>
        </w:rPr>
        <w:t>, Highly Transparent, Self-Adhesive, and 3D-Printable Ionic Hydrogels for Multimode Tactical Sensing. Chem. Mater. 33 (2021), p.6731-6742.</w:t>
      </w:r>
    </w:p>
    <w:p w14:paraId="6DF22518" w14:textId="77777777" w:rsidR="00BB031B" w:rsidRPr="00B52300" w:rsidRDefault="00BB031B" w:rsidP="00B52300">
      <w:pPr>
        <w:pStyle w:val="TTPReference"/>
        <w:spacing w:after="0" w:line="240" w:lineRule="auto"/>
        <w:rPr>
          <w:sz w:val="20"/>
          <w:szCs w:val="20"/>
          <w:lang w:val="en-GB"/>
        </w:rPr>
      </w:pPr>
      <w:r w:rsidRPr="00B52300">
        <w:rPr>
          <w:sz w:val="20"/>
          <w:szCs w:val="20"/>
          <w:lang w:val="en-GB"/>
        </w:rPr>
        <w:t>[3]</w:t>
      </w:r>
      <w:r w:rsidRPr="00B52300">
        <w:rPr>
          <w:sz w:val="20"/>
          <w:szCs w:val="20"/>
          <w:lang w:val="en-GB"/>
        </w:rPr>
        <w:tab/>
        <w:t xml:space="preserve">Y. Liu, A. Sun, S. Sridhar, Z. Li, Z. Qin, J. Liu, S. Chen, H. Lu, B.Z. Tang, B.B. Xu, </w:t>
      </w:r>
      <w:hyperlink r:id="rId8" w:history="1">
        <w:r w:rsidRPr="00B52300">
          <w:rPr>
            <w:sz w:val="20"/>
            <w:szCs w:val="20"/>
            <w:lang w:val="en-GB"/>
          </w:rPr>
          <w:t>Spatially and Reversibly Actuating Soft Gel Structure by Harnessing Multimode Elastic Instabilities</w:t>
        </w:r>
      </w:hyperlink>
      <w:r w:rsidRPr="00B52300">
        <w:rPr>
          <w:sz w:val="20"/>
          <w:szCs w:val="20"/>
          <w:lang w:val="en-GB"/>
        </w:rPr>
        <w:t>. ACS Appl. Mater. Interfaces. 13 (2021), p.36361-9.</w:t>
      </w:r>
    </w:p>
    <w:p w14:paraId="7D8608B8" w14:textId="77777777" w:rsidR="00BB031B" w:rsidRPr="00B52300" w:rsidRDefault="00BB031B" w:rsidP="00B52300">
      <w:pPr>
        <w:pStyle w:val="TTPReference"/>
        <w:spacing w:after="0" w:line="240" w:lineRule="auto"/>
        <w:rPr>
          <w:sz w:val="20"/>
          <w:szCs w:val="20"/>
          <w:lang w:val="en-GB"/>
        </w:rPr>
      </w:pPr>
      <w:r w:rsidRPr="00B52300">
        <w:rPr>
          <w:sz w:val="20"/>
          <w:szCs w:val="20"/>
          <w:lang w:val="en-GB"/>
        </w:rPr>
        <w:t>[4]</w:t>
      </w:r>
      <w:r w:rsidRPr="00B52300">
        <w:rPr>
          <w:sz w:val="20"/>
          <w:szCs w:val="20"/>
          <w:lang w:val="en-GB"/>
        </w:rPr>
        <w:tab/>
        <w:t xml:space="preserve">Z. Li, Y. Liu, M. Lei, A. Sun, S. Sridhar, Y. Li, X. Liu, H. Lu, Y.Q. Fu, B.B. Xu, </w:t>
      </w:r>
      <w:hyperlink r:id="rId9" w:history="1">
        <w:r w:rsidRPr="00B52300">
          <w:rPr>
            <w:sz w:val="20"/>
            <w:szCs w:val="20"/>
            <w:lang w:val="en-GB"/>
          </w:rPr>
          <w:t>Stimuli-responsive gel impregnated surface with switchable lipophilic/oleophobic properties</w:t>
        </w:r>
      </w:hyperlink>
      <w:r w:rsidRPr="00B52300">
        <w:rPr>
          <w:sz w:val="20"/>
          <w:szCs w:val="20"/>
          <w:lang w:val="en-GB"/>
        </w:rPr>
        <w:t>. Soft Mater. 16 (2020), p.1636-41.</w:t>
      </w:r>
    </w:p>
    <w:p w14:paraId="1A09768E" w14:textId="77777777" w:rsidR="00BB031B" w:rsidRPr="00B52300" w:rsidRDefault="00BB031B" w:rsidP="00B52300">
      <w:pPr>
        <w:pStyle w:val="TTPReference"/>
        <w:spacing w:after="0" w:line="240" w:lineRule="auto"/>
        <w:rPr>
          <w:sz w:val="20"/>
          <w:szCs w:val="20"/>
          <w:lang w:val="en-GB"/>
        </w:rPr>
      </w:pPr>
      <w:r w:rsidRPr="00B52300">
        <w:rPr>
          <w:sz w:val="20"/>
          <w:szCs w:val="20"/>
          <w:lang w:val="en-GB"/>
        </w:rPr>
        <w:t>[5]</w:t>
      </w:r>
      <w:r w:rsidRPr="00B52300">
        <w:rPr>
          <w:sz w:val="20"/>
          <w:szCs w:val="20"/>
          <w:lang w:val="en-GB"/>
        </w:rPr>
        <w:tab/>
        <w:t xml:space="preserve">Z. </w:t>
      </w:r>
      <w:r w:rsidRPr="00B52300">
        <w:rPr>
          <w:sz w:val="20"/>
          <w:szCs w:val="20"/>
          <w:lang w:val="en-US"/>
        </w:rPr>
        <w:t>Deng, T. Hu, Q. Lei, J. He, P.X. Ma, B. Guo, Stimuli-Responsive Conductive Nanocomposite Hydrogels with High Stretchability, Self-Healing, Adhesiveness, and 3D Printability for Human Motion Sensing. ACS Appl. Mater. Interfaces. 11 (2019), p.6796-6808.</w:t>
      </w:r>
    </w:p>
    <w:p w14:paraId="67F5C923" w14:textId="406F06B7" w:rsidR="0067738F" w:rsidRPr="00B52300" w:rsidRDefault="00BB031B" w:rsidP="00BB031B">
      <w:pPr>
        <w:pStyle w:val="TTPReference"/>
        <w:spacing w:after="0" w:line="240" w:lineRule="auto"/>
        <w:rPr>
          <w:sz w:val="20"/>
          <w:szCs w:val="20"/>
          <w:lang w:val="en-US"/>
        </w:rPr>
      </w:pPr>
      <w:r w:rsidRPr="00B52300">
        <w:rPr>
          <w:sz w:val="20"/>
          <w:szCs w:val="20"/>
          <w:lang w:val="en-GB"/>
        </w:rPr>
        <w:t>[6]</w:t>
      </w:r>
      <w:r w:rsidRPr="00B52300">
        <w:rPr>
          <w:sz w:val="20"/>
          <w:szCs w:val="20"/>
          <w:lang w:val="en-GB"/>
        </w:rPr>
        <w:tab/>
        <w:t xml:space="preserve">Z. </w:t>
      </w:r>
      <w:r w:rsidRPr="00B52300">
        <w:rPr>
          <w:sz w:val="20"/>
          <w:szCs w:val="20"/>
          <w:lang w:val="en-US"/>
        </w:rPr>
        <w:t xml:space="preserve">Wu, X. Yang, J. Wu, Conductive Hydrogel- and </w:t>
      </w:r>
      <w:proofErr w:type="spellStart"/>
      <w:r w:rsidRPr="00B52300">
        <w:rPr>
          <w:sz w:val="20"/>
          <w:szCs w:val="20"/>
          <w:lang w:val="en-US"/>
        </w:rPr>
        <w:t>Organohydrogel</w:t>
      </w:r>
      <w:proofErr w:type="spellEnd"/>
      <w:r w:rsidRPr="00B52300">
        <w:rPr>
          <w:sz w:val="20"/>
          <w:szCs w:val="20"/>
          <w:lang w:val="en-US"/>
        </w:rPr>
        <w:t>-Based Stretchable Sensors. ACS Appl Mater Interfaces. 13 (2021), 2128-2144.</w:t>
      </w:r>
    </w:p>
    <w:sectPr w:rsidR="0067738F" w:rsidRPr="00B52300" w:rsidSect="002510F4">
      <w:headerReference w:type="even" r:id="rId10"/>
      <w:headerReference w:type="default" r:id="rId11"/>
      <w:pgSz w:w="11907" w:h="16840" w:code="9"/>
      <w:pgMar w:top="1418" w:right="1134" w:bottom="851" w:left="1134" w:header="709" w:footer="284"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175A5" w14:textId="77777777" w:rsidR="00D532F6" w:rsidRDefault="00D532F6">
      <w:r>
        <w:separator/>
      </w:r>
    </w:p>
  </w:endnote>
  <w:endnote w:type="continuationSeparator" w:id="0">
    <w:p w14:paraId="10E7FEDE" w14:textId="77777777" w:rsidR="00D532F6" w:rsidRDefault="00D5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ÀŒÃÂ"/>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499DA" w14:textId="77777777" w:rsidR="00D532F6" w:rsidRDefault="00D532F6">
      <w:r>
        <w:separator/>
      </w:r>
    </w:p>
  </w:footnote>
  <w:footnote w:type="continuationSeparator" w:id="0">
    <w:p w14:paraId="67701434" w14:textId="77777777" w:rsidR="00D532F6" w:rsidRDefault="00D5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B843" w14:textId="77777777" w:rsidR="00F30817" w:rsidRDefault="00F30817">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B9DA" w14:textId="77777777" w:rsidR="00F30817" w:rsidRDefault="00F30817">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F0007"/>
    <w:multiLevelType w:val="multilevel"/>
    <w:tmpl w:val="6D8E3C98"/>
    <w:lvl w:ilvl="0">
      <w:start w:val="3"/>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 w15:restartNumberingAfterBreak="0">
    <w:nsid w:val="6C537FBC"/>
    <w:multiLevelType w:val="hybridMultilevel"/>
    <w:tmpl w:val="FFFFFFFF"/>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89959686">
    <w:abstractNumId w:val="1"/>
  </w:num>
  <w:num w:numId="2" w16cid:durableId="1235162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17"/>
    <w:rsid w:val="00025584"/>
    <w:rsid w:val="00043ED9"/>
    <w:rsid w:val="0006758F"/>
    <w:rsid w:val="00076DB8"/>
    <w:rsid w:val="000A4CE8"/>
    <w:rsid w:val="000A6385"/>
    <w:rsid w:val="000B5A51"/>
    <w:rsid w:val="000D4B8F"/>
    <w:rsid w:val="00107B96"/>
    <w:rsid w:val="001248E8"/>
    <w:rsid w:val="00136F14"/>
    <w:rsid w:val="00137C1B"/>
    <w:rsid w:val="00141E36"/>
    <w:rsid w:val="001708C7"/>
    <w:rsid w:val="00174900"/>
    <w:rsid w:val="00192CBA"/>
    <w:rsid w:val="00193991"/>
    <w:rsid w:val="001A5F41"/>
    <w:rsid w:val="001B0DDB"/>
    <w:rsid w:val="001C5B52"/>
    <w:rsid w:val="001C61E4"/>
    <w:rsid w:val="001D308F"/>
    <w:rsid w:val="00205C83"/>
    <w:rsid w:val="00225DE7"/>
    <w:rsid w:val="0023633D"/>
    <w:rsid w:val="002510F4"/>
    <w:rsid w:val="00251A99"/>
    <w:rsid w:val="00260A3F"/>
    <w:rsid w:val="00295485"/>
    <w:rsid w:val="0029564D"/>
    <w:rsid w:val="002A5A6D"/>
    <w:rsid w:val="002C1997"/>
    <w:rsid w:val="002E7B02"/>
    <w:rsid w:val="003013F2"/>
    <w:rsid w:val="00310961"/>
    <w:rsid w:val="003251E0"/>
    <w:rsid w:val="00335F9D"/>
    <w:rsid w:val="003473B4"/>
    <w:rsid w:val="00372504"/>
    <w:rsid w:val="003B5850"/>
    <w:rsid w:val="003D1BE1"/>
    <w:rsid w:val="003D3B38"/>
    <w:rsid w:val="003F0117"/>
    <w:rsid w:val="003F11EC"/>
    <w:rsid w:val="00400DC3"/>
    <w:rsid w:val="00404449"/>
    <w:rsid w:val="004201BF"/>
    <w:rsid w:val="00465478"/>
    <w:rsid w:val="00473A8E"/>
    <w:rsid w:val="00481BE2"/>
    <w:rsid w:val="00493DB9"/>
    <w:rsid w:val="004A0F8C"/>
    <w:rsid w:val="004A492F"/>
    <w:rsid w:val="004C48B6"/>
    <w:rsid w:val="00531407"/>
    <w:rsid w:val="0059238A"/>
    <w:rsid w:val="0059548F"/>
    <w:rsid w:val="005C05EB"/>
    <w:rsid w:val="005E6BD4"/>
    <w:rsid w:val="005F7092"/>
    <w:rsid w:val="00601EB4"/>
    <w:rsid w:val="00604415"/>
    <w:rsid w:val="00605C62"/>
    <w:rsid w:val="00635925"/>
    <w:rsid w:val="00637176"/>
    <w:rsid w:val="00660A63"/>
    <w:rsid w:val="0067738F"/>
    <w:rsid w:val="00690981"/>
    <w:rsid w:val="00694BC0"/>
    <w:rsid w:val="006B3014"/>
    <w:rsid w:val="006B347C"/>
    <w:rsid w:val="006D3CA2"/>
    <w:rsid w:val="00700FDE"/>
    <w:rsid w:val="00706585"/>
    <w:rsid w:val="0070775F"/>
    <w:rsid w:val="007241D2"/>
    <w:rsid w:val="00732EB9"/>
    <w:rsid w:val="00735F76"/>
    <w:rsid w:val="007429D2"/>
    <w:rsid w:val="00767EFE"/>
    <w:rsid w:val="00774597"/>
    <w:rsid w:val="00791796"/>
    <w:rsid w:val="007970B7"/>
    <w:rsid w:val="007C67C5"/>
    <w:rsid w:val="007D37B2"/>
    <w:rsid w:val="007E34CD"/>
    <w:rsid w:val="007F0D52"/>
    <w:rsid w:val="00854F4B"/>
    <w:rsid w:val="0087299F"/>
    <w:rsid w:val="008A2ABE"/>
    <w:rsid w:val="008A47B5"/>
    <w:rsid w:val="008B2A36"/>
    <w:rsid w:val="008E38BB"/>
    <w:rsid w:val="008F1619"/>
    <w:rsid w:val="008F5FA6"/>
    <w:rsid w:val="00900CE5"/>
    <w:rsid w:val="009641B8"/>
    <w:rsid w:val="00975783"/>
    <w:rsid w:val="0099510C"/>
    <w:rsid w:val="00A031F5"/>
    <w:rsid w:val="00A420AC"/>
    <w:rsid w:val="00A47122"/>
    <w:rsid w:val="00A557A5"/>
    <w:rsid w:val="00A672C7"/>
    <w:rsid w:val="00A74115"/>
    <w:rsid w:val="00A752C5"/>
    <w:rsid w:val="00A76C04"/>
    <w:rsid w:val="00A95A40"/>
    <w:rsid w:val="00AD3A4F"/>
    <w:rsid w:val="00AF110D"/>
    <w:rsid w:val="00B0534D"/>
    <w:rsid w:val="00B11627"/>
    <w:rsid w:val="00B322B6"/>
    <w:rsid w:val="00B410D8"/>
    <w:rsid w:val="00B43C4B"/>
    <w:rsid w:val="00B52300"/>
    <w:rsid w:val="00BA1579"/>
    <w:rsid w:val="00BB031B"/>
    <w:rsid w:val="00BB5EF6"/>
    <w:rsid w:val="00BE1A6A"/>
    <w:rsid w:val="00BF3B8F"/>
    <w:rsid w:val="00BF7DAB"/>
    <w:rsid w:val="00C53C2E"/>
    <w:rsid w:val="00C83653"/>
    <w:rsid w:val="00C841B8"/>
    <w:rsid w:val="00C90086"/>
    <w:rsid w:val="00CB3DFF"/>
    <w:rsid w:val="00CC0CCE"/>
    <w:rsid w:val="00CE0CEB"/>
    <w:rsid w:val="00CF1396"/>
    <w:rsid w:val="00CF5CBB"/>
    <w:rsid w:val="00D20412"/>
    <w:rsid w:val="00D21AFA"/>
    <w:rsid w:val="00D22891"/>
    <w:rsid w:val="00D27BD6"/>
    <w:rsid w:val="00D4002C"/>
    <w:rsid w:val="00D4063D"/>
    <w:rsid w:val="00D532F6"/>
    <w:rsid w:val="00D643F3"/>
    <w:rsid w:val="00D661DE"/>
    <w:rsid w:val="00D664B7"/>
    <w:rsid w:val="00D76C50"/>
    <w:rsid w:val="00D83A53"/>
    <w:rsid w:val="00D862F2"/>
    <w:rsid w:val="00DA29DC"/>
    <w:rsid w:val="00DA4CD2"/>
    <w:rsid w:val="00DA6749"/>
    <w:rsid w:val="00DB3A9B"/>
    <w:rsid w:val="00DD4E1D"/>
    <w:rsid w:val="00E1221F"/>
    <w:rsid w:val="00E37AB4"/>
    <w:rsid w:val="00E43576"/>
    <w:rsid w:val="00E50964"/>
    <w:rsid w:val="00E50F72"/>
    <w:rsid w:val="00E52581"/>
    <w:rsid w:val="00E7558C"/>
    <w:rsid w:val="00E86B57"/>
    <w:rsid w:val="00EB154E"/>
    <w:rsid w:val="00ED0360"/>
    <w:rsid w:val="00EE6D70"/>
    <w:rsid w:val="00EF2262"/>
    <w:rsid w:val="00F01AD5"/>
    <w:rsid w:val="00F17770"/>
    <w:rsid w:val="00F30817"/>
    <w:rsid w:val="00F54867"/>
    <w:rsid w:val="00F627F2"/>
    <w:rsid w:val="00F63F1E"/>
    <w:rsid w:val="00F77527"/>
    <w:rsid w:val="00FA14D3"/>
    <w:rsid w:val="00FB0911"/>
    <w:rsid w:val="00FE1F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3D336A"/>
  <w14:defaultImageDpi w14:val="0"/>
  <w15:docId w15:val="{12FE56B1-695C-4A0C-8013-F2E1812B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eastAsia="en-US"/>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paragraph" w:styleId="Heading3">
    <w:name w:val="heading 3"/>
    <w:basedOn w:val="Normal"/>
    <w:next w:val="Normal"/>
    <w:link w:val="Heading3Char"/>
    <w:uiPriority w:val="9"/>
    <w:semiHidden/>
    <w:unhideWhenUsed/>
    <w:qFormat/>
    <w:rsid w:val="003F11E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character" w:styleId="CommentReference">
    <w:name w:val="annotation reference"/>
    <w:uiPriority w:val="99"/>
    <w:unhideWhenUsed/>
    <w:rsid w:val="00FE1FCC"/>
    <w:rPr>
      <w:sz w:val="16"/>
      <w:szCs w:val="16"/>
    </w:rPr>
  </w:style>
  <w:style w:type="paragraph" w:styleId="CommentText">
    <w:name w:val="annotation text"/>
    <w:basedOn w:val="Normal"/>
    <w:link w:val="CommentTextChar"/>
    <w:uiPriority w:val="99"/>
    <w:unhideWhenUsed/>
    <w:rsid w:val="00FE1FCC"/>
    <w:pPr>
      <w:widowControl w:val="0"/>
      <w:autoSpaceDE/>
      <w:autoSpaceDN/>
      <w:jc w:val="both"/>
    </w:pPr>
    <w:rPr>
      <w:rFonts w:ascii="DengXian" w:eastAsia="DengXian" w:hAnsi="DengXian"/>
      <w:kern w:val="2"/>
      <w:lang w:val="en-US" w:eastAsia="zh-CN"/>
    </w:rPr>
  </w:style>
  <w:style w:type="character" w:customStyle="1" w:styleId="CommentTextChar">
    <w:name w:val="Comment Text Char"/>
    <w:basedOn w:val="DefaultParagraphFont"/>
    <w:link w:val="CommentText"/>
    <w:uiPriority w:val="99"/>
    <w:rsid w:val="00FE1FCC"/>
    <w:rPr>
      <w:rFonts w:ascii="DengXian" w:eastAsia="DengXian" w:hAnsi="DengXian"/>
      <w:kern w:val="2"/>
      <w:lang w:val="en-US"/>
    </w:rPr>
  </w:style>
  <w:style w:type="character" w:styleId="UnresolvedMention">
    <w:name w:val="Unresolved Mention"/>
    <w:basedOn w:val="DefaultParagraphFont"/>
    <w:uiPriority w:val="99"/>
    <w:semiHidden/>
    <w:unhideWhenUsed/>
    <w:rsid w:val="003F11EC"/>
    <w:rPr>
      <w:color w:val="605E5C"/>
      <w:shd w:val="clear" w:color="auto" w:fill="E1DFDD"/>
    </w:rPr>
  </w:style>
  <w:style w:type="character" w:customStyle="1" w:styleId="Heading3Char">
    <w:name w:val="Heading 3 Char"/>
    <w:basedOn w:val="DefaultParagraphFont"/>
    <w:link w:val="Heading3"/>
    <w:uiPriority w:val="9"/>
    <w:semiHidden/>
    <w:rsid w:val="003F11EC"/>
    <w:rPr>
      <w:rFonts w:asciiTheme="majorHAnsi" w:eastAsiaTheme="majorEastAsia" w:hAnsiTheme="majorHAnsi" w:cstheme="majorBidi"/>
      <w:color w:val="243F60" w:themeColor="accent1" w:themeShade="7F"/>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55435">
      <w:bodyDiv w:val="1"/>
      <w:marLeft w:val="0"/>
      <w:marRight w:val="0"/>
      <w:marTop w:val="0"/>
      <w:marBottom w:val="0"/>
      <w:divBdr>
        <w:top w:val="none" w:sz="0" w:space="0" w:color="auto"/>
        <w:left w:val="none" w:sz="0" w:space="0" w:color="auto"/>
        <w:bottom w:val="none" w:sz="0" w:space="0" w:color="auto"/>
        <w:right w:val="none" w:sz="0" w:space="0" w:color="auto"/>
      </w:divBdr>
    </w:div>
    <w:div w:id="163739103">
      <w:bodyDiv w:val="1"/>
      <w:marLeft w:val="0"/>
      <w:marRight w:val="0"/>
      <w:marTop w:val="0"/>
      <w:marBottom w:val="0"/>
      <w:divBdr>
        <w:top w:val="none" w:sz="0" w:space="0" w:color="auto"/>
        <w:left w:val="none" w:sz="0" w:space="0" w:color="auto"/>
        <w:bottom w:val="none" w:sz="0" w:space="0" w:color="auto"/>
        <w:right w:val="none" w:sz="0" w:space="0" w:color="auto"/>
      </w:divBdr>
    </w:div>
    <w:div w:id="242616880">
      <w:bodyDiv w:val="1"/>
      <w:marLeft w:val="0"/>
      <w:marRight w:val="0"/>
      <w:marTop w:val="0"/>
      <w:marBottom w:val="0"/>
      <w:divBdr>
        <w:top w:val="none" w:sz="0" w:space="0" w:color="auto"/>
        <w:left w:val="none" w:sz="0" w:space="0" w:color="auto"/>
        <w:bottom w:val="none" w:sz="0" w:space="0" w:color="auto"/>
        <w:right w:val="none" w:sz="0" w:space="0" w:color="auto"/>
      </w:divBdr>
    </w:div>
    <w:div w:id="744300633">
      <w:marLeft w:val="0"/>
      <w:marRight w:val="0"/>
      <w:marTop w:val="0"/>
      <w:marBottom w:val="0"/>
      <w:divBdr>
        <w:top w:val="none" w:sz="0" w:space="0" w:color="auto"/>
        <w:left w:val="none" w:sz="0" w:space="0" w:color="auto"/>
        <w:bottom w:val="none" w:sz="0" w:space="0" w:color="auto"/>
        <w:right w:val="none" w:sz="0" w:space="0" w:color="auto"/>
      </w:divBdr>
    </w:div>
    <w:div w:id="744300634">
      <w:marLeft w:val="0"/>
      <w:marRight w:val="0"/>
      <w:marTop w:val="0"/>
      <w:marBottom w:val="0"/>
      <w:divBdr>
        <w:top w:val="none" w:sz="0" w:space="0" w:color="auto"/>
        <w:left w:val="none" w:sz="0" w:space="0" w:color="auto"/>
        <w:bottom w:val="none" w:sz="0" w:space="0" w:color="auto"/>
        <w:right w:val="none" w:sz="0" w:space="0" w:color="auto"/>
      </w:divBdr>
    </w:div>
    <w:div w:id="1289628100">
      <w:bodyDiv w:val="1"/>
      <w:marLeft w:val="0"/>
      <w:marRight w:val="0"/>
      <w:marTop w:val="0"/>
      <w:marBottom w:val="0"/>
      <w:divBdr>
        <w:top w:val="none" w:sz="0" w:space="0" w:color="auto"/>
        <w:left w:val="none" w:sz="0" w:space="0" w:color="auto"/>
        <w:bottom w:val="none" w:sz="0" w:space="0" w:color="auto"/>
        <w:right w:val="none" w:sz="0" w:space="0" w:color="auto"/>
      </w:divBdr>
    </w:div>
    <w:div w:id="1425027694">
      <w:bodyDiv w:val="1"/>
      <w:marLeft w:val="0"/>
      <w:marRight w:val="0"/>
      <w:marTop w:val="0"/>
      <w:marBottom w:val="0"/>
      <w:divBdr>
        <w:top w:val="none" w:sz="0" w:space="0" w:color="auto"/>
        <w:left w:val="none" w:sz="0" w:space="0" w:color="auto"/>
        <w:bottom w:val="none" w:sz="0" w:space="0" w:color="auto"/>
        <w:right w:val="none" w:sz="0" w:space="0" w:color="auto"/>
      </w:divBdr>
    </w:div>
    <w:div w:id="1506047307">
      <w:bodyDiv w:val="1"/>
      <w:marLeft w:val="0"/>
      <w:marRight w:val="0"/>
      <w:marTop w:val="0"/>
      <w:marBottom w:val="0"/>
      <w:divBdr>
        <w:top w:val="none" w:sz="0" w:space="0" w:color="auto"/>
        <w:left w:val="none" w:sz="0" w:space="0" w:color="auto"/>
        <w:bottom w:val="none" w:sz="0" w:space="0" w:color="auto"/>
        <w:right w:val="none" w:sz="0" w:space="0" w:color="auto"/>
      </w:divBdr>
    </w:div>
    <w:div w:id="1550721606">
      <w:bodyDiv w:val="1"/>
      <w:marLeft w:val="0"/>
      <w:marRight w:val="0"/>
      <w:marTop w:val="0"/>
      <w:marBottom w:val="0"/>
      <w:divBdr>
        <w:top w:val="none" w:sz="0" w:space="0" w:color="auto"/>
        <w:left w:val="none" w:sz="0" w:space="0" w:color="auto"/>
        <w:bottom w:val="none" w:sz="0" w:space="0" w:color="auto"/>
        <w:right w:val="none" w:sz="0" w:space="0" w:color="auto"/>
      </w:divBdr>
    </w:div>
    <w:div w:id="1756707916">
      <w:bodyDiv w:val="1"/>
      <w:marLeft w:val="0"/>
      <w:marRight w:val="0"/>
      <w:marTop w:val="0"/>
      <w:marBottom w:val="0"/>
      <w:divBdr>
        <w:top w:val="none" w:sz="0" w:space="0" w:color="auto"/>
        <w:left w:val="none" w:sz="0" w:space="0" w:color="auto"/>
        <w:bottom w:val="none" w:sz="0" w:space="0" w:color="auto"/>
        <w:right w:val="none" w:sz="0" w:space="0" w:color="auto"/>
      </w:divBdr>
    </w:div>
    <w:div w:id="198018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citation&amp;hl=en&amp;user=RG5zFPAAAAAJ&amp;sortby=pubdate&amp;citation_for_view=RG5zFPAAAAAJ:DrR-2ekChdk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ubs.rsc.org/en/content/articlehtml/2020/sm/c9sm02016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2</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Your Paper's Title Starts Here:</vt:lpstr>
    </vt:vector>
  </TitlesOfParts>
  <Company>Trans Tech Publications Ltd</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subject/>
  <dc:creator>Hans Neber-Aeschbacher</dc:creator>
  <cp:keywords/>
  <dc:description/>
  <cp:lastModifiedBy>Ben Xu</cp:lastModifiedBy>
  <cp:revision>104</cp:revision>
  <cp:lastPrinted>2004-11-09T15:57:00Z</cp:lastPrinted>
  <dcterms:created xsi:type="dcterms:W3CDTF">2022-02-20T23:18:00Z</dcterms:created>
  <dcterms:modified xsi:type="dcterms:W3CDTF">2023-03-06T12:55:00Z</dcterms:modified>
</cp:coreProperties>
</file>